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1D58" w14:textId="77777777" w:rsidR="0020147F" w:rsidRDefault="00F3024E" w:rsidP="00F3024E">
      <w:pPr>
        <w:spacing w:after="0" w:line="240" w:lineRule="auto"/>
        <w:jc w:val="center"/>
        <w:rPr>
          <w:rFonts w:ascii="Times New Roman" w:eastAsia="Times New Roman" w:hAnsi="Times New Roman" w:cs="Times New Roman"/>
          <w:b/>
          <w:sz w:val="24"/>
          <w:szCs w:val="24"/>
          <w:lang w:val="sr-Cyrl-RS"/>
        </w:rPr>
      </w:pPr>
      <w:r w:rsidRPr="00F3024E">
        <w:rPr>
          <w:rFonts w:ascii="Times New Roman" w:eastAsia="Times New Roman" w:hAnsi="Times New Roman" w:cs="Times New Roman"/>
          <w:b/>
          <w:sz w:val="24"/>
          <w:szCs w:val="24"/>
          <w:lang w:val="sr-Cyrl-RS"/>
        </w:rPr>
        <w:t>ЗАШТИТА ЖИВОТНЕ СРЕДИНЕ У ИНДУСТРИЈСКИМ ОБЈЕКТИМА</w:t>
      </w:r>
    </w:p>
    <w:p w14:paraId="2DC9932F" w14:textId="77777777" w:rsidR="00F3024E" w:rsidRPr="00F3024E" w:rsidRDefault="00F3024E" w:rsidP="00F3024E">
      <w:pPr>
        <w:spacing w:after="0" w:line="240" w:lineRule="auto"/>
        <w:jc w:val="center"/>
        <w:rPr>
          <w:rFonts w:ascii="Times New Roman" w:eastAsia="Times New Roman" w:hAnsi="Times New Roman" w:cs="Times New Roman"/>
          <w:b/>
          <w:sz w:val="24"/>
          <w:szCs w:val="24"/>
          <w:lang w:val="sr-Cyrl-RS"/>
        </w:rPr>
      </w:pPr>
    </w:p>
    <w:p w14:paraId="2920403A" w14:textId="77777777" w:rsidR="00446E71" w:rsidRPr="002F4BB0" w:rsidRDefault="00446E71" w:rsidP="00F3024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 xml:space="preserve">Контролна листа: ЗАШТИТА ВАЗДУХА КОД </w:t>
      </w:r>
      <w:r w:rsidR="00EC4C79">
        <w:rPr>
          <w:rFonts w:ascii="Times New Roman" w:eastAsia="Times New Roman" w:hAnsi="Times New Roman" w:cs="Times New Roman"/>
          <w:b/>
          <w:sz w:val="24"/>
          <w:szCs w:val="24"/>
          <w:lang w:val="sr-Cyrl-RS" w:eastAsia="sr-Latn-RS"/>
        </w:rPr>
        <w:t>ТЕХНОЛОШКИХ ПОСТРОЈЕЊА</w:t>
      </w:r>
      <w:r w:rsidR="009A3F6E">
        <w:rPr>
          <w:rFonts w:ascii="Times New Roman" w:eastAsia="Times New Roman" w:hAnsi="Times New Roman" w:cs="Times New Roman"/>
          <w:b/>
          <w:sz w:val="24"/>
          <w:szCs w:val="24"/>
          <w:lang w:val="sr-Cyrl-RS" w:eastAsia="sr-Latn-RS"/>
        </w:rPr>
        <w:t xml:space="preserve"> СА</w:t>
      </w:r>
      <w:r w:rsidRPr="002F4BB0">
        <w:rPr>
          <w:rFonts w:ascii="Times New Roman" w:eastAsia="Times New Roman" w:hAnsi="Times New Roman" w:cs="Times New Roman"/>
          <w:b/>
          <w:sz w:val="24"/>
          <w:szCs w:val="24"/>
          <w:lang w:val="sr-Cyrl-RS" w:eastAsia="sr-Latn-RS"/>
        </w:rPr>
        <w:t xml:space="preserve"> </w:t>
      </w:r>
      <w:r w:rsidR="00402575">
        <w:rPr>
          <w:rFonts w:ascii="Times New Roman" w:eastAsia="Times New Roman" w:hAnsi="Times New Roman" w:cs="Times New Roman"/>
          <w:b/>
          <w:sz w:val="24"/>
          <w:szCs w:val="24"/>
          <w:lang w:val="sr-Cyrl-RS" w:eastAsia="sr-Latn-RS"/>
        </w:rPr>
        <w:t>КОНТИНУАЛН</w:t>
      </w:r>
      <w:r w:rsidR="009A3F6E">
        <w:rPr>
          <w:rFonts w:ascii="Times New Roman" w:eastAsia="Times New Roman" w:hAnsi="Times New Roman" w:cs="Times New Roman"/>
          <w:b/>
          <w:sz w:val="24"/>
          <w:szCs w:val="24"/>
          <w:lang w:val="sr-Cyrl-RS" w:eastAsia="sr-Latn-RS"/>
        </w:rPr>
        <w:t>ИМ МЕРЕЊЕМ</w:t>
      </w:r>
    </w:p>
    <w:p w14:paraId="554CB5DA" w14:textId="13610624" w:rsidR="005367FA" w:rsidRPr="00914E88" w:rsidRDefault="005367FA" w:rsidP="00F3024E">
      <w:pPr>
        <w:suppressLineNumbers/>
        <w:spacing w:after="0" w:line="240" w:lineRule="auto"/>
        <w:jc w:val="center"/>
        <w:rPr>
          <w:rFonts w:ascii="Times New Roman" w:eastAsia="Times New Roman" w:hAnsi="Times New Roman" w:cs="Times New Roman"/>
          <w:b/>
          <w:sz w:val="24"/>
          <w:szCs w:val="24"/>
          <w:lang w:val="sr-Cyrl-RS" w:eastAsia="sr-Latn-RS"/>
        </w:rPr>
      </w:pPr>
    </w:p>
    <w:p w14:paraId="7AE962A7" w14:textId="77777777" w:rsidR="00446E71" w:rsidRPr="002F4BB0" w:rsidRDefault="00446E71" w:rsidP="00F3024E">
      <w:pPr>
        <w:autoSpaceDE w:val="0"/>
        <w:autoSpaceDN w:val="0"/>
        <w:adjustRightInd w:val="0"/>
        <w:spacing w:after="0" w:line="240" w:lineRule="auto"/>
        <w:jc w:val="both"/>
        <w:rPr>
          <w:rFonts w:ascii="Times New Roman" w:eastAsia="Calibri" w:hAnsi="Times New Roman" w:cs="Times New Roman"/>
          <w:iCs/>
          <w:sz w:val="24"/>
          <w:szCs w:val="24"/>
          <w:lang w:val="sr-Cyrl-RS"/>
        </w:rPr>
      </w:pPr>
    </w:p>
    <w:p w14:paraId="667AA789" w14:textId="77777777" w:rsidR="00045F7B" w:rsidRPr="001A78E6"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710" w:type="dxa"/>
        <w:jc w:val="center"/>
        <w:tblLook w:val="04A0" w:firstRow="1" w:lastRow="0" w:firstColumn="1" w:lastColumn="0" w:noHBand="0" w:noVBand="1"/>
      </w:tblPr>
      <w:tblGrid>
        <w:gridCol w:w="5202"/>
        <w:gridCol w:w="5508"/>
      </w:tblGrid>
      <w:tr w:rsidR="00446E71" w:rsidRPr="002F4BB0" w14:paraId="0CBD4F3C" w14:textId="77777777" w:rsidTr="00FA315F">
        <w:trPr>
          <w:jc w:val="center"/>
        </w:trPr>
        <w:tc>
          <w:tcPr>
            <w:tcW w:w="10710" w:type="dxa"/>
            <w:gridSpan w:val="2"/>
          </w:tcPr>
          <w:p w14:paraId="0A7A312D" w14:textId="77777777" w:rsidR="00446E71" w:rsidRPr="002F4BB0" w:rsidRDefault="00446E71" w:rsidP="00F3024E">
            <w:pPr>
              <w:jc w:val="center"/>
              <w:rPr>
                <w:rFonts w:ascii="Times New Roman" w:hAnsi="Times New Roman" w:cs="Times New Roman"/>
                <w:sz w:val="24"/>
                <w:szCs w:val="24"/>
              </w:rPr>
            </w:pPr>
            <w:r w:rsidRPr="002F4BB0">
              <w:rPr>
                <w:rFonts w:ascii="Times New Roman" w:eastAsia="Times New Roman" w:hAnsi="Times New Roman" w:cs="Times New Roman"/>
                <w:bCs/>
                <w:sz w:val="24"/>
                <w:szCs w:val="24"/>
                <w:lang w:val="sr-Cyrl-RS" w:eastAsia="sr-Latn-RS"/>
              </w:rPr>
              <w:t>Подаци о опер</w:t>
            </w:r>
            <w:r w:rsidRPr="002F4BB0">
              <w:rPr>
                <w:rFonts w:ascii="Times New Roman" w:eastAsia="Times New Roman" w:hAnsi="Times New Roman" w:cs="Times New Roman"/>
                <w:bCs/>
                <w:sz w:val="24"/>
                <w:szCs w:val="24"/>
                <w:lang w:eastAsia="sr-Latn-RS"/>
              </w:rPr>
              <w:t>a</w:t>
            </w:r>
            <w:r w:rsidRPr="002F4BB0">
              <w:rPr>
                <w:rFonts w:ascii="Times New Roman" w:eastAsia="Times New Roman" w:hAnsi="Times New Roman" w:cs="Times New Roman"/>
                <w:bCs/>
                <w:sz w:val="24"/>
                <w:szCs w:val="24"/>
                <w:lang w:val="sr-Cyrl-RS" w:eastAsia="sr-Latn-RS"/>
              </w:rPr>
              <w:t>теру</w:t>
            </w:r>
          </w:p>
        </w:tc>
      </w:tr>
      <w:tr w:rsidR="00446E71" w:rsidRPr="002F4BB0" w14:paraId="6D25EA20"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55957A00" w14:textId="0338CA21" w:rsidR="00446E71" w:rsidRPr="005B0A8D" w:rsidRDefault="00446E71" w:rsidP="00F3024E">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5B0A8D">
              <w:rPr>
                <w:rFonts w:ascii="Times New Roman" w:hAnsi="Times New Roman" w:cs="Times New Roman"/>
                <w:bCs/>
                <w:sz w:val="24"/>
                <w:szCs w:val="24"/>
                <w:lang w:val="sr-Cyrl-RS"/>
              </w:rPr>
              <w:t>надзираног субјекта</w:t>
            </w:r>
          </w:p>
        </w:tc>
        <w:tc>
          <w:tcPr>
            <w:tcW w:w="5508" w:type="dxa"/>
            <w:tcBorders>
              <w:top w:val="single" w:sz="4" w:space="0" w:color="auto"/>
              <w:left w:val="single" w:sz="4" w:space="0" w:color="auto"/>
              <w:bottom w:val="single" w:sz="4" w:space="0" w:color="auto"/>
            </w:tcBorders>
          </w:tcPr>
          <w:p w14:paraId="62763D98" w14:textId="77777777" w:rsidR="00446E71" w:rsidRPr="002F4BB0" w:rsidRDefault="00446E71" w:rsidP="00F3024E">
            <w:pPr>
              <w:rPr>
                <w:rFonts w:ascii="Times New Roman" w:hAnsi="Times New Roman" w:cs="Times New Roman"/>
                <w:sz w:val="24"/>
                <w:szCs w:val="24"/>
              </w:rPr>
            </w:pPr>
          </w:p>
        </w:tc>
      </w:tr>
      <w:tr w:rsidR="00446E71" w:rsidRPr="002F4BB0" w14:paraId="3FBEBC6B"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293BBC5"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CC69D5">
              <w:rPr>
                <w:rFonts w:ascii="Times New Roman" w:hAnsi="Times New Roman" w:cs="Times New Roman"/>
                <w:bCs/>
                <w:sz w:val="24"/>
                <w:szCs w:val="24"/>
                <w:lang w:val="sr-Cyrl-RS"/>
              </w:rPr>
              <w:t>пштина и место седишта</w:t>
            </w:r>
          </w:p>
        </w:tc>
        <w:tc>
          <w:tcPr>
            <w:tcW w:w="5508" w:type="dxa"/>
            <w:tcBorders>
              <w:top w:val="single" w:sz="4" w:space="0" w:color="auto"/>
              <w:left w:val="single" w:sz="4" w:space="0" w:color="auto"/>
              <w:bottom w:val="single" w:sz="4" w:space="0" w:color="auto"/>
            </w:tcBorders>
          </w:tcPr>
          <w:p w14:paraId="58974F01" w14:textId="77777777" w:rsidR="00446E71" w:rsidRPr="002F4BB0" w:rsidRDefault="00446E71" w:rsidP="00F3024E">
            <w:pPr>
              <w:rPr>
                <w:rFonts w:ascii="Times New Roman" w:hAnsi="Times New Roman" w:cs="Times New Roman"/>
                <w:sz w:val="24"/>
                <w:szCs w:val="24"/>
              </w:rPr>
            </w:pPr>
          </w:p>
        </w:tc>
      </w:tr>
      <w:tr w:rsidR="00446E71" w:rsidRPr="002F4BB0" w14:paraId="4A6DE48E"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134F33A9" w14:textId="77777777" w:rsidR="00446E71" w:rsidRPr="002F4BB0" w:rsidRDefault="00CC69D5" w:rsidP="00F3024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508" w:type="dxa"/>
            <w:tcBorders>
              <w:top w:val="single" w:sz="4" w:space="0" w:color="auto"/>
              <w:left w:val="single" w:sz="4" w:space="0" w:color="auto"/>
              <w:bottom w:val="single" w:sz="4" w:space="0" w:color="auto"/>
            </w:tcBorders>
          </w:tcPr>
          <w:p w14:paraId="607D8540" w14:textId="77777777" w:rsidR="00446E71" w:rsidRPr="002F4BB0" w:rsidRDefault="00446E71" w:rsidP="00F3024E">
            <w:pPr>
              <w:rPr>
                <w:rFonts w:ascii="Times New Roman" w:hAnsi="Times New Roman" w:cs="Times New Roman"/>
                <w:sz w:val="24"/>
                <w:szCs w:val="24"/>
              </w:rPr>
            </w:pPr>
          </w:p>
        </w:tc>
      </w:tr>
      <w:tr w:rsidR="00446E71" w:rsidRPr="002F4BB0" w14:paraId="04091B67"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4E60289"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ПИБ</w:t>
            </w:r>
            <w:r w:rsidR="00CC69D5">
              <w:rPr>
                <w:rFonts w:ascii="Times New Roman" w:hAnsi="Times New Roman" w:cs="Times New Roman"/>
                <w:bCs/>
                <w:sz w:val="24"/>
                <w:szCs w:val="24"/>
                <w:lang w:val="sr-Cyrl-RS"/>
              </w:rPr>
              <w:t xml:space="preserve"> </w:t>
            </w:r>
          </w:p>
        </w:tc>
        <w:tc>
          <w:tcPr>
            <w:tcW w:w="5508" w:type="dxa"/>
            <w:tcBorders>
              <w:top w:val="single" w:sz="4" w:space="0" w:color="auto"/>
              <w:left w:val="single" w:sz="4" w:space="0" w:color="auto"/>
              <w:bottom w:val="single" w:sz="4" w:space="0" w:color="auto"/>
            </w:tcBorders>
          </w:tcPr>
          <w:p w14:paraId="36FC31A3" w14:textId="77777777" w:rsidR="00446E71" w:rsidRPr="002F4BB0" w:rsidRDefault="00446E71" w:rsidP="00F3024E">
            <w:pPr>
              <w:rPr>
                <w:rFonts w:ascii="Times New Roman" w:hAnsi="Times New Roman" w:cs="Times New Roman"/>
                <w:sz w:val="24"/>
                <w:szCs w:val="24"/>
              </w:rPr>
            </w:pPr>
          </w:p>
        </w:tc>
      </w:tr>
      <w:tr w:rsidR="00446E71" w:rsidRPr="002F4BB0" w14:paraId="74C643D1"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C6CE215" w14:textId="77777777" w:rsidR="00446E71" w:rsidRPr="002F4BB0" w:rsidRDefault="00446E71" w:rsidP="00F3024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508" w:type="dxa"/>
            <w:tcBorders>
              <w:top w:val="single" w:sz="4" w:space="0" w:color="auto"/>
              <w:left w:val="single" w:sz="4" w:space="0" w:color="auto"/>
              <w:bottom w:val="single" w:sz="4" w:space="0" w:color="auto"/>
            </w:tcBorders>
          </w:tcPr>
          <w:p w14:paraId="282A2B27" w14:textId="77777777" w:rsidR="00446E71" w:rsidRPr="002F4BB0" w:rsidRDefault="00446E71" w:rsidP="00F3024E">
            <w:pPr>
              <w:rPr>
                <w:rFonts w:ascii="Times New Roman" w:hAnsi="Times New Roman" w:cs="Times New Roman"/>
                <w:sz w:val="24"/>
                <w:szCs w:val="24"/>
              </w:rPr>
            </w:pPr>
          </w:p>
        </w:tc>
      </w:tr>
      <w:tr w:rsidR="00446E71" w:rsidRPr="00F3024E" w14:paraId="258AFCC5"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524A228"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w:t>
            </w:r>
            <w:r w:rsidR="00CC69D5">
              <w:rPr>
                <w:rFonts w:ascii="Times New Roman" w:hAnsi="Times New Roman" w:cs="Times New Roman"/>
                <w:bCs/>
                <w:sz w:val="24"/>
                <w:szCs w:val="24"/>
                <w:lang w:val="sr-Cyrl-RS"/>
              </w:rPr>
              <w:t xml:space="preserve"> контакт</w:t>
            </w:r>
            <w:r w:rsidRPr="002F4BB0">
              <w:rPr>
                <w:rFonts w:ascii="Times New Roman" w:hAnsi="Times New Roman" w:cs="Times New Roman"/>
                <w:bCs/>
                <w:sz w:val="24"/>
                <w:szCs w:val="24"/>
                <w:lang w:val="sr-Cyrl-RS"/>
              </w:rPr>
              <w:t xml:space="preserve"> особе</w:t>
            </w:r>
          </w:p>
        </w:tc>
        <w:tc>
          <w:tcPr>
            <w:tcW w:w="5508" w:type="dxa"/>
            <w:tcBorders>
              <w:top w:val="single" w:sz="4" w:space="0" w:color="auto"/>
              <w:left w:val="single" w:sz="4" w:space="0" w:color="auto"/>
              <w:bottom w:val="single" w:sz="4" w:space="0" w:color="auto"/>
            </w:tcBorders>
          </w:tcPr>
          <w:p w14:paraId="196DD4D7" w14:textId="77777777" w:rsidR="00446E71" w:rsidRPr="009264F5" w:rsidRDefault="00446E71" w:rsidP="00F3024E">
            <w:pPr>
              <w:rPr>
                <w:rFonts w:ascii="Times New Roman" w:hAnsi="Times New Roman" w:cs="Times New Roman"/>
                <w:sz w:val="24"/>
                <w:szCs w:val="24"/>
                <w:lang w:val="sr-Cyrl-RS"/>
              </w:rPr>
            </w:pPr>
          </w:p>
        </w:tc>
      </w:tr>
      <w:tr w:rsidR="00045F7B" w:rsidRPr="002F4BB0" w14:paraId="5556753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600FE20A"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508" w:type="dxa"/>
            <w:tcBorders>
              <w:top w:val="single" w:sz="4" w:space="0" w:color="auto"/>
              <w:left w:val="single" w:sz="4" w:space="0" w:color="auto"/>
              <w:bottom w:val="single" w:sz="4" w:space="0" w:color="auto"/>
            </w:tcBorders>
          </w:tcPr>
          <w:p w14:paraId="5C5F769E" w14:textId="77777777" w:rsidR="00045F7B" w:rsidRPr="009264F5" w:rsidRDefault="00045F7B" w:rsidP="00F3024E">
            <w:pPr>
              <w:rPr>
                <w:rFonts w:ascii="Times New Roman" w:hAnsi="Times New Roman" w:cs="Times New Roman"/>
                <w:sz w:val="24"/>
                <w:szCs w:val="24"/>
                <w:lang w:val="sr-Cyrl-RS"/>
              </w:rPr>
            </w:pPr>
          </w:p>
        </w:tc>
      </w:tr>
      <w:tr w:rsidR="00045F7B" w:rsidRPr="002F4BB0" w14:paraId="0BBA992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70DAEB48"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508" w:type="dxa"/>
            <w:tcBorders>
              <w:top w:val="single" w:sz="4" w:space="0" w:color="auto"/>
              <w:left w:val="single" w:sz="4" w:space="0" w:color="auto"/>
              <w:bottom w:val="single" w:sz="4" w:space="0" w:color="auto"/>
            </w:tcBorders>
          </w:tcPr>
          <w:p w14:paraId="19812D7B" w14:textId="77777777" w:rsidR="00045F7B" w:rsidRPr="009264F5" w:rsidRDefault="00045F7B" w:rsidP="00F3024E">
            <w:pPr>
              <w:rPr>
                <w:rFonts w:ascii="Times New Roman" w:hAnsi="Times New Roman" w:cs="Times New Roman"/>
                <w:sz w:val="24"/>
                <w:szCs w:val="24"/>
                <w:lang w:val="sr-Cyrl-RS"/>
              </w:rPr>
            </w:pPr>
          </w:p>
        </w:tc>
      </w:tr>
    </w:tbl>
    <w:p w14:paraId="109171D7" w14:textId="77777777" w:rsidR="00446E71" w:rsidRPr="007B08C7" w:rsidRDefault="00446E71" w:rsidP="00F3024E">
      <w:pPr>
        <w:spacing w:after="0" w:line="240" w:lineRule="auto"/>
        <w:rPr>
          <w:rFonts w:ascii="Times New Roman" w:hAnsi="Times New Roman" w:cs="Times New Roman"/>
          <w:sz w:val="20"/>
          <w:szCs w:val="20"/>
        </w:rPr>
      </w:pPr>
    </w:p>
    <w:p w14:paraId="36C8F955" w14:textId="21C88BE8" w:rsidR="00045F7B" w:rsidRPr="002F4BB0"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Статус</w:t>
      </w:r>
      <w:r w:rsidR="005B0A8D">
        <w:rPr>
          <w:rFonts w:ascii="Times New Roman" w:eastAsia="Times New Roman" w:hAnsi="Times New Roman" w:cs="Times New Roman"/>
          <w:sz w:val="24"/>
          <w:szCs w:val="24"/>
          <w:lang w:val="sr-Cyrl-RS" w:eastAsia="sr-Latn-RS"/>
        </w:rPr>
        <w:t xml:space="preserve"> надзираног субјекта</w:t>
      </w:r>
    </w:p>
    <w:tbl>
      <w:tblPr>
        <w:tblStyle w:val="TableGrid"/>
        <w:tblW w:w="10710" w:type="dxa"/>
        <w:jc w:val="center"/>
        <w:tblLook w:val="04A0" w:firstRow="1" w:lastRow="0" w:firstColumn="1" w:lastColumn="0" w:noHBand="0" w:noVBand="1"/>
      </w:tblPr>
      <w:tblGrid>
        <w:gridCol w:w="8366"/>
        <w:gridCol w:w="2344"/>
      </w:tblGrid>
      <w:tr w:rsidR="007B5071" w:rsidRPr="002F4BB0" w14:paraId="7FA4E056" w14:textId="77777777" w:rsidTr="00E4574C">
        <w:trPr>
          <w:jc w:val="center"/>
        </w:trPr>
        <w:tc>
          <w:tcPr>
            <w:tcW w:w="8370" w:type="dxa"/>
            <w:tcBorders>
              <w:right w:val="single" w:sz="4" w:space="0" w:color="auto"/>
            </w:tcBorders>
            <w:vAlign w:val="center"/>
          </w:tcPr>
          <w:p w14:paraId="6A18A089" w14:textId="56A7B052" w:rsidR="007B5071"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надзирани субјекат регистрован у АПР-у</w:t>
            </w:r>
          </w:p>
        </w:tc>
        <w:tc>
          <w:tcPr>
            <w:tcW w:w="2340" w:type="dxa"/>
            <w:tcBorders>
              <w:top w:val="single" w:sz="4" w:space="0" w:color="auto"/>
              <w:left w:val="single" w:sz="4" w:space="0" w:color="auto"/>
              <w:bottom w:val="single" w:sz="4" w:space="0" w:color="auto"/>
            </w:tcBorders>
            <w:vAlign w:val="center"/>
          </w:tcPr>
          <w:p w14:paraId="4DD39D08" w14:textId="77777777" w:rsidR="007B5071"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sidR="00F3024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74952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A3C2003" w14:textId="77777777" w:rsidR="007B5071" w:rsidRPr="002F4BB0"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 </w:t>
            </w:r>
            <w:sdt>
              <w:sdtPr>
                <w:rPr>
                  <w:rFonts w:ascii="Times New Roman" w:hAnsi="Times New Roman" w:cs="Times New Roman"/>
                  <w:sz w:val="24"/>
                  <w:szCs w:val="24"/>
                  <w:lang w:val="sr-Cyrl-RS"/>
                </w:rPr>
                <w:id w:val="-1046375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446E71" w:rsidRPr="00CD4537" w14:paraId="5E9ACC42" w14:textId="77777777" w:rsidTr="00FA315F">
        <w:trPr>
          <w:jc w:val="center"/>
        </w:trPr>
        <w:tc>
          <w:tcPr>
            <w:tcW w:w="10710" w:type="dxa"/>
            <w:gridSpan w:val="2"/>
          </w:tcPr>
          <w:p w14:paraId="733F4DDB" w14:textId="17405EFD" w:rsidR="00446E71"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5B0A8D" w:rsidRPr="002F4BB0" w14:paraId="2D27727E" w14:textId="77777777" w:rsidTr="005B0A8D">
        <w:trPr>
          <w:jc w:val="center"/>
        </w:trPr>
        <w:tc>
          <w:tcPr>
            <w:tcW w:w="8365" w:type="dxa"/>
          </w:tcPr>
          <w:p w14:paraId="0A12FCFB" w14:textId="1B1B3E4E" w:rsidR="007C670A" w:rsidRPr="007C670A"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5" w:type="dxa"/>
          </w:tcPr>
          <w:p w14:paraId="7789C6B6"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7B993AE9"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3D9F8E6B" w14:textId="4075F428"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tc>
      </w:tr>
      <w:tr w:rsidR="005B0A8D" w:rsidRPr="00CD4537" w14:paraId="6A9A0F98" w14:textId="77777777" w:rsidTr="00FA315F">
        <w:trPr>
          <w:jc w:val="center"/>
        </w:trPr>
        <w:tc>
          <w:tcPr>
            <w:tcW w:w="10710" w:type="dxa"/>
            <w:gridSpan w:val="2"/>
          </w:tcPr>
          <w:p w14:paraId="4C9E290F" w14:textId="62F8A0B9" w:rsidR="005B0A8D"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739AE9FF" w14:textId="77777777" w:rsidR="00446E71" w:rsidRDefault="00446E71" w:rsidP="00F3024E">
      <w:pPr>
        <w:spacing w:after="0" w:line="240" w:lineRule="auto"/>
        <w:rPr>
          <w:rFonts w:ascii="Times New Roman" w:hAnsi="Times New Roman" w:cs="Times New Roman"/>
          <w:sz w:val="20"/>
          <w:szCs w:val="20"/>
          <w:lang w:val="sr-Cyrl-RS"/>
        </w:rPr>
      </w:pPr>
    </w:p>
    <w:p w14:paraId="190FDCAA" w14:textId="4F787FAC" w:rsidR="00045F7B" w:rsidRPr="005B0A8D"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r>
        <w:rPr>
          <w:rFonts w:ascii="Times New Roman" w:hAnsi="Times New Roman" w:cs="Times New Roman"/>
          <w:sz w:val="24"/>
          <w:szCs w:val="24"/>
          <w:lang w:val="sr-Latn-RS"/>
        </w:rPr>
        <w:t xml:space="preserve"> </w:t>
      </w:r>
    </w:p>
    <w:tbl>
      <w:tblPr>
        <w:tblStyle w:val="TableGrid"/>
        <w:tblW w:w="10800" w:type="dxa"/>
        <w:tblInd w:w="-719" w:type="dxa"/>
        <w:tblLook w:val="04A0" w:firstRow="1" w:lastRow="0" w:firstColumn="1" w:lastColumn="0" w:noHBand="0" w:noVBand="1"/>
      </w:tblPr>
      <w:tblGrid>
        <w:gridCol w:w="630"/>
        <w:gridCol w:w="7726"/>
        <w:gridCol w:w="2444"/>
      </w:tblGrid>
      <w:tr w:rsidR="008147BB" w:rsidRPr="00171EFE" w14:paraId="2E0B3039" w14:textId="77777777" w:rsidTr="00F3024E">
        <w:trPr>
          <w:cantSplit/>
        </w:trPr>
        <w:tc>
          <w:tcPr>
            <w:tcW w:w="10800" w:type="dxa"/>
            <w:gridSpan w:val="3"/>
          </w:tcPr>
          <w:p w14:paraId="10913782" w14:textId="6644D9AD" w:rsidR="008147BB" w:rsidRDefault="000158AC" w:rsidP="00F3024E">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А</w:t>
            </w:r>
            <w:r w:rsidR="008147BB" w:rsidRPr="000548AD">
              <w:rPr>
                <w:rFonts w:ascii="Times New Roman" w:hAnsi="Times New Roman" w:cs="Times New Roman"/>
                <w:bCs/>
                <w:sz w:val="24"/>
                <w:szCs w:val="24"/>
                <w:lang w:val="sr-Cyrl-RS"/>
              </w:rPr>
              <w:t>) Континуално мерење емисије</w:t>
            </w:r>
          </w:p>
        </w:tc>
      </w:tr>
      <w:tr w:rsidR="00294F19" w14:paraId="430CE97B"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45C4CF"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6344EDC1" w14:textId="5E5E0A9B" w:rsidR="00294F19" w:rsidRPr="005B0A8D" w:rsidRDefault="00294F19" w:rsidP="00294F19">
            <w:pPr>
              <w:rPr>
                <w:rFonts w:ascii="Times New Roman" w:hAnsi="Times New Roman" w:cs="Times New Roman"/>
                <w:iCs/>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58C9C6A1"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FD6050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B5DA843" w14:textId="58F73940" w:rsidR="00294F19" w:rsidRPr="009358CE" w:rsidRDefault="00294F19" w:rsidP="00294F19">
            <w:pPr>
              <w:rPr>
                <w:rFonts w:ascii="Times New Roman" w:hAnsi="Times New Roman" w:cs="Times New Roman"/>
                <w:bCs/>
                <w:sz w:val="24"/>
                <w:szCs w:val="24"/>
                <w:lang w:val="sr-Cyrl-RS"/>
              </w:rPr>
            </w:pPr>
          </w:p>
        </w:tc>
      </w:tr>
      <w:tr w:rsidR="00294F19" w14:paraId="44F6732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165F709"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2</w:t>
            </w:r>
          </w:p>
        </w:tc>
        <w:tc>
          <w:tcPr>
            <w:tcW w:w="7726" w:type="dxa"/>
            <w:tcBorders>
              <w:top w:val="single" w:sz="6" w:space="0" w:color="000000"/>
              <w:left w:val="single" w:sz="6" w:space="0" w:color="000000"/>
              <w:bottom w:val="single" w:sz="4" w:space="0" w:color="auto"/>
              <w:right w:val="single" w:sz="6" w:space="0" w:color="000000"/>
            </w:tcBorders>
            <w:vAlign w:val="center"/>
          </w:tcPr>
          <w:p w14:paraId="1FC30EEE" w14:textId="608B9EA7" w:rsidR="00294F19" w:rsidRPr="001E327F" w:rsidRDefault="00294F19" w:rsidP="00294F19">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675266F3"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F4462E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4A6FAF5" w14:textId="759BA8C0" w:rsidR="00294F19" w:rsidRPr="00FA315F" w:rsidRDefault="00294F19" w:rsidP="00294F19">
            <w:pPr>
              <w:rPr>
                <w:rFonts w:ascii="Times New Roman" w:hAnsi="Times New Roman" w:cs="Times New Roman"/>
                <w:sz w:val="24"/>
                <w:szCs w:val="24"/>
                <w:lang w:val="sr-Cyrl-RS"/>
              </w:rPr>
            </w:pPr>
          </w:p>
        </w:tc>
      </w:tr>
      <w:tr w:rsidR="00294F19" w14:paraId="2A7C1F6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DAD6E06"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w:t>
            </w:r>
            <w:r w:rsidRPr="000548AD">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4FB15268" w14:textId="77777777" w:rsidR="00615A5E" w:rsidRPr="00212EE3" w:rsidRDefault="00615A5E" w:rsidP="00615A5E">
            <w:pPr>
              <w:autoSpaceDE w:val="0"/>
              <w:autoSpaceDN w:val="0"/>
              <w:adjustRightInd w:val="0"/>
              <w:rPr>
                <w:rFonts w:ascii="Times New Roman" w:eastAsia="Calibri" w:hAnsi="Times New Roman" w:cs="Times New Roman"/>
                <w:i/>
                <w:sz w:val="24"/>
                <w:szCs w:val="24"/>
                <w:lang w:val="sr-Cyrl-RS"/>
              </w:rPr>
            </w:pPr>
            <w:r w:rsidRPr="00212EE3">
              <w:rPr>
                <w:rFonts w:ascii="Times New Roman" w:eastAsia="Calibri" w:hAnsi="Times New Roman" w:cs="Times New Roman"/>
                <w:sz w:val="24"/>
                <w:szCs w:val="24"/>
                <w:lang w:val="sr-Cyrl-RS"/>
              </w:rPr>
              <w:t xml:space="preserve">Да ли </w:t>
            </w:r>
            <w:r>
              <w:rPr>
                <w:rFonts w:ascii="Times New Roman" w:eastAsia="Calibri" w:hAnsi="Times New Roman" w:cs="Times New Roman"/>
                <w:sz w:val="24"/>
                <w:szCs w:val="24"/>
                <w:lang w:val="sr-Cyrl-RS"/>
              </w:rPr>
              <w:t>оператер врши континуално мерење емисије по</w:t>
            </w:r>
            <w:r w:rsidRPr="00212EE3">
              <w:rPr>
                <w:rFonts w:ascii="Times New Roman" w:eastAsia="Calibri" w:hAnsi="Times New Roman" w:cs="Times New Roman"/>
                <w:sz w:val="24"/>
                <w:szCs w:val="24"/>
                <w:lang w:val="sr-Cyrl-RS"/>
              </w:rPr>
              <w:t xml:space="preserve"> прибављен</w:t>
            </w:r>
            <w:r>
              <w:rPr>
                <w:rFonts w:ascii="Times New Roman" w:eastAsia="Calibri" w:hAnsi="Times New Roman" w:cs="Times New Roman"/>
                <w:sz w:val="24"/>
                <w:szCs w:val="24"/>
                <w:lang w:val="sr-Cyrl-RS"/>
              </w:rPr>
              <w:t>ој</w:t>
            </w:r>
            <w:r w:rsidRPr="00212EE3">
              <w:rPr>
                <w:rFonts w:ascii="Times New Roman" w:eastAsia="Calibri" w:hAnsi="Times New Roman" w:cs="Times New Roman"/>
                <w:sz w:val="24"/>
                <w:szCs w:val="24"/>
                <w:lang w:val="sr-Cyrl-RS"/>
              </w:rPr>
              <w:t xml:space="preserve"> сагласност</w:t>
            </w:r>
            <w:r>
              <w:rPr>
                <w:rFonts w:ascii="Times New Roman" w:eastAsia="Calibri" w:hAnsi="Times New Roman" w:cs="Times New Roman"/>
                <w:sz w:val="24"/>
                <w:szCs w:val="24"/>
                <w:lang w:val="sr-Cyrl-RS"/>
              </w:rPr>
              <w:t>и</w:t>
            </w:r>
            <w:r w:rsidRPr="00212EE3">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М</w:t>
            </w:r>
            <w:r w:rsidRPr="00212EE3">
              <w:rPr>
                <w:rFonts w:ascii="Times New Roman" w:eastAsia="Calibri" w:hAnsi="Times New Roman" w:cs="Times New Roman"/>
                <w:sz w:val="24"/>
                <w:szCs w:val="24"/>
                <w:lang w:val="sr-Cyrl-RS"/>
              </w:rPr>
              <w:t xml:space="preserve">инистарства за континуална мерења емисије, за све загађујуће материје </w:t>
            </w:r>
            <w:r w:rsidRPr="00212EE3">
              <w:rPr>
                <w:rFonts w:ascii="Times New Roman" w:hAnsi="Times New Roman" w:cs="Times New Roman"/>
                <w:sz w:val="24"/>
                <w:szCs w:val="24"/>
                <w:lang w:val="sr-Cyrl-RS"/>
              </w:rPr>
              <w:t>за које је прописано</w:t>
            </w:r>
            <w:r w:rsidRPr="00212EE3">
              <w:rPr>
                <w:rFonts w:ascii="Times New Roman" w:eastAsia="Calibri" w:hAnsi="Times New Roman" w:cs="Times New Roman"/>
                <w:i/>
                <w:sz w:val="24"/>
                <w:szCs w:val="24"/>
                <w:lang w:val="sr-Cyrl-RS"/>
              </w:rPr>
              <w:t xml:space="preserve"> </w:t>
            </w:r>
          </w:p>
          <w:p w14:paraId="4162AC81" w14:textId="60B34C33" w:rsidR="00294F19" w:rsidRPr="00615A5E" w:rsidRDefault="00615A5E" w:rsidP="00615A5E">
            <w:pPr>
              <w:autoSpaceDE w:val="0"/>
              <w:autoSpaceDN w:val="0"/>
              <w:adjustRightInd w:val="0"/>
              <w:rPr>
                <w:rFonts w:ascii="Times New Roman" w:eastAsia="Calibri" w:hAnsi="Times New Roman" w:cs="Times New Roman"/>
                <w:i/>
                <w:sz w:val="24"/>
                <w:szCs w:val="24"/>
                <w:lang w:val="sr-Cyrl-RS"/>
              </w:rPr>
            </w:pPr>
            <w:r w:rsidRPr="005B0A8D">
              <w:rPr>
                <w:rFonts w:ascii="Times New Roman" w:hAnsi="Times New Roman" w:cs="Times New Roman"/>
                <w:iCs/>
                <w:sz w:val="24"/>
                <w:szCs w:val="24"/>
                <w:lang w:val="sr-Cyrl-RS"/>
              </w:rPr>
              <w:t>(Обавеза постоји када су прекорачени прописани масени протоци) (Изузетак од извршења обавезе је када постројење у календарској години ради мање од 500 часова)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C9D8EA8"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376B4A0"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A91E7F2" w14:textId="1BFC1FB1" w:rsidR="00294F19" w:rsidRPr="009358CE" w:rsidRDefault="00294F19" w:rsidP="00294F19">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317DEB" w14:paraId="23DAC0D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34ABCCE" w14:textId="58C35FC1"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726" w:type="dxa"/>
            <w:tcBorders>
              <w:top w:val="single" w:sz="6" w:space="0" w:color="000000"/>
              <w:left w:val="single" w:sz="6" w:space="0" w:color="000000"/>
              <w:bottom w:val="single" w:sz="4" w:space="0" w:color="auto"/>
              <w:right w:val="single" w:sz="6" w:space="0" w:color="000000"/>
            </w:tcBorders>
            <w:vAlign w:val="center"/>
          </w:tcPr>
          <w:p w14:paraId="7539FD08" w14:textId="2416630D"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444" w:type="dxa"/>
            <w:tcBorders>
              <w:top w:val="single" w:sz="6" w:space="0" w:color="000000"/>
              <w:left w:val="single" w:sz="6" w:space="0" w:color="000000"/>
              <w:bottom w:val="single" w:sz="6" w:space="0" w:color="000000"/>
              <w:right w:val="single" w:sz="6" w:space="0" w:color="000000"/>
            </w:tcBorders>
            <w:vAlign w:val="center"/>
          </w:tcPr>
          <w:p w14:paraId="09E2A751"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57398DBD"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4CACFFB6" w14:textId="55FF7828"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317DEB" w14:paraId="4ED4F3A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E67D64" w14:textId="7C8C05A7"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726" w:type="dxa"/>
            <w:tcBorders>
              <w:top w:val="single" w:sz="6" w:space="0" w:color="000000"/>
              <w:left w:val="single" w:sz="6" w:space="0" w:color="000000"/>
              <w:bottom w:val="single" w:sz="4" w:space="0" w:color="auto"/>
              <w:right w:val="single" w:sz="6" w:space="0" w:color="000000"/>
            </w:tcBorders>
            <w:vAlign w:val="center"/>
          </w:tcPr>
          <w:p w14:paraId="02650C72" w14:textId="44B170F8"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444" w:type="dxa"/>
            <w:tcBorders>
              <w:top w:val="single" w:sz="6" w:space="0" w:color="000000"/>
              <w:left w:val="single" w:sz="6" w:space="0" w:color="000000"/>
              <w:bottom w:val="single" w:sz="6" w:space="0" w:color="000000"/>
              <w:right w:val="single" w:sz="6" w:space="0" w:color="000000"/>
            </w:tcBorders>
            <w:vAlign w:val="center"/>
          </w:tcPr>
          <w:p w14:paraId="6647BD2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6930399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799B1DD8" w14:textId="7A1E2713"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8D6157" w14:paraId="6F0756D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FE1A6B7" w14:textId="705BDA5C"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726" w:type="dxa"/>
            <w:tcBorders>
              <w:top w:val="single" w:sz="6" w:space="0" w:color="000000"/>
              <w:left w:val="single" w:sz="6" w:space="0" w:color="000000"/>
              <w:bottom w:val="single" w:sz="4" w:space="0" w:color="auto"/>
              <w:right w:val="single" w:sz="6" w:space="0" w:color="000000"/>
            </w:tcBorders>
            <w:vAlign w:val="center"/>
          </w:tcPr>
          <w:p w14:paraId="1EC5A3AF" w14:textId="64BA481A" w:rsidR="008D6157" w:rsidRPr="008D6157" w:rsidRDefault="008D6157" w:rsidP="008D6157">
            <w:pPr>
              <w:autoSpaceDE w:val="0"/>
              <w:autoSpaceDN w:val="0"/>
              <w:adjustRightInd w:val="0"/>
              <w:rPr>
                <w:rFonts w:ascii="Times New Roman" w:hAnsi="Times New Roman" w:cs="Times New Roman"/>
                <w:sz w:val="24"/>
                <w:szCs w:val="24"/>
                <w:lang w:val="sr-Cyrl-RS"/>
              </w:rPr>
            </w:pPr>
            <w:r w:rsidRPr="008D6157">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96CE748"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p w14:paraId="41F1AD31"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p w14:paraId="1F2524F4" w14:textId="6F8E0A30"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tc>
      </w:tr>
      <w:tr w:rsidR="008D6157" w14:paraId="2718B1F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6CCBEBA" w14:textId="1A1F6DCF"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726" w:type="dxa"/>
            <w:tcBorders>
              <w:top w:val="single" w:sz="6" w:space="0" w:color="000000"/>
              <w:left w:val="single" w:sz="6" w:space="0" w:color="000000"/>
              <w:bottom w:val="single" w:sz="4" w:space="0" w:color="auto"/>
              <w:right w:val="single" w:sz="6" w:space="0" w:color="000000"/>
            </w:tcBorders>
            <w:vAlign w:val="center"/>
          </w:tcPr>
          <w:p w14:paraId="27BDD464" w14:textId="32587A4E" w:rsidR="008D6157" w:rsidRPr="00BE1A08"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1E327F">
              <w:rPr>
                <w:rFonts w:ascii="Times New Roman" w:hAnsi="Times New Roman" w:cs="Times New Roman"/>
                <w:sz w:val="24"/>
                <w:szCs w:val="24"/>
                <w:lang w:val="sr-Latn-RS"/>
              </w:rPr>
              <w:t xml:space="preserve">ST) </w:t>
            </w:r>
            <w:r w:rsidRPr="001E327F">
              <w:rPr>
                <w:rFonts w:ascii="Times New Roman" w:hAnsi="Times New Roman" w:cs="Times New Roman"/>
                <w:sz w:val="24"/>
                <w:szCs w:val="24"/>
                <w:lang w:val="sr-Cyrl-RS"/>
              </w:rPr>
              <w:t>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0758D43D"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06869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D2C9BA"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254977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13B52352" w14:textId="3291CCCC" w:rsidR="008D6157" w:rsidRPr="00FA315F"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593198"/>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061D3E8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96F4A62" w14:textId="04F917E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726" w:type="dxa"/>
            <w:tcBorders>
              <w:top w:val="single" w:sz="6" w:space="0" w:color="000000"/>
              <w:left w:val="single" w:sz="6" w:space="0" w:color="000000"/>
              <w:bottom w:val="single" w:sz="4" w:space="0" w:color="auto"/>
              <w:right w:val="single" w:sz="6" w:space="0" w:color="000000"/>
            </w:tcBorders>
            <w:vAlign w:val="center"/>
          </w:tcPr>
          <w:p w14:paraId="3D8577A8" w14:textId="1E6A7B10" w:rsidR="008D6157" w:rsidRPr="00FA315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1E327F">
              <w:rPr>
                <w:rFonts w:ascii="Times New Roman" w:hAnsi="Times New Roman" w:cs="Times New Roman"/>
                <w:sz w:val="24"/>
                <w:szCs w:val="24"/>
                <w:lang w:val="sr-Latn-RS"/>
              </w:rPr>
              <w:t xml:space="preserve">QAL 2) </w:t>
            </w:r>
            <w:r w:rsidRPr="001E327F">
              <w:rPr>
                <w:rFonts w:ascii="Times New Roman" w:hAnsi="Times New Roman" w:cs="Times New Roman"/>
                <w:sz w:val="24"/>
                <w:szCs w:val="24"/>
                <w:lang w:val="sr-Cyrl-RS"/>
              </w:rPr>
              <w:t>на прописан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75FFDD31"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0770376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3D58C78"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4875247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5FF81A4" w14:textId="627AD88B"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146785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0CD9E42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F3B11B" w14:textId="1559FCE3"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726" w:type="dxa"/>
            <w:tcBorders>
              <w:top w:val="single" w:sz="6" w:space="0" w:color="000000"/>
              <w:left w:val="single" w:sz="6" w:space="0" w:color="000000"/>
              <w:bottom w:val="single" w:sz="4" w:space="0" w:color="auto"/>
              <w:right w:val="single" w:sz="6" w:space="0" w:color="000000"/>
            </w:tcBorders>
            <w:vAlign w:val="center"/>
          </w:tcPr>
          <w:p w14:paraId="61DE3545" w14:textId="1DD23D91" w:rsidR="008D6157" w:rsidRPr="001E327F" w:rsidRDefault="008D6157" w:rsidP="008D6157">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BE1A08">
              <w:rPr>
                <w:rFonts w:ascii="Times New Roman" w:hAnsi="Times New Roman" w:cs="Times New Roman"/>
                <w:sz w:val="24"/>
                <w:szCs w:val="24"/>
                <w:lang w:val="sr-Latn-RS"/>
              </w:rPr>
              <w:t xml:space="preserve">ST) </w:t>
            </w:r>
            <w:r w:rsidRPr="00BE1A08">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25909AD3"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89390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7905E81"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33858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5156DFF0" w14:textId="38864A23" w:rsidR="008D6157" w:rsidRPr="009358CE" w:rsidRDefault="008D6157" w:rsidP="008D6157">
            <w:pPr>
              <w:rPr>
                <w:rFonts w:ascii="Times New Roman" w:hAnsi="Times New Roman" w:cs="Times New Roman"/>
                <w:bCs/>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849652"/>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036ECE3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E11E66A" w14:textId="53940FC5"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726" w:type="dxa"/>
            <w:tcBorders>
              <w:top w:val="single" w:sz="6" w:space="0" w:color="000000"/>
              <w:left w:val="single" w:sz="6" w:space="0" w:color="000000"/>
              <w:bottom w:val="single" w:sz="4" w:space="0" w:color="auto"/>
              <w:right w:val="single" w:sz="6" w:space="0" w:color="000000"/>
            </w:tcBorders>
            <w:vAlign w:val="center"/>
          </w:tcPr>
          <w:p w14:paraId="2FC11FDD" w14:textId="12D7014D" w:rsidR="008D6157" w:rsidRPr="001E327F" w:rsidRDefault="008D6157" w:rsidP="008D6157">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F3024E">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p>
        </w:tc>
        <w:tc>
          <w:tcPr>
            <w:tcW w:w="2444" w:type="dxa"/>
            <w:tcBorders>
              <w:top w:val="single" w:sz="6" w:space="0" w:color="000000"/>
              <w:left w:val="single" w:sz="6" w:space="0" w:color="000000"/>
              <w:bottom w:val="single" w:sz="6" w:space="0" w:color="000000"/>
              <w:right w:val="single" w:sz="6" w:space="0" w:color="000000"/>
            </w:tcBorders>
            <w:vAlign w:val="center"/>
          </w:tcPr>
          <w:p w14:paraId="5D599F9E"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29727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24D568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786581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5E945E" w14:textId="7BFD429F" w:rsidR="008D6157" w:rsidRPr="00FA315F"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53352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5FE8D96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D552389" w14:textId="615B438F"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726" w:type="dxa"/>
            <w:tcBorders>
              <w:top w:val="single" w:sz="6" w:space="0" w:color="000000"/>
              <w:left w:val="single" w:sz="6" w:space="0" w:color="000000"/>
              <w:bottom w:val="single" w:sz="4" w:space="0" w:color="auto"/>
              <w:right w:val="single" w:sz="6" w:space="0" w:color="000000"/>
            </w:tcBorders>
            <w:vAlign w:val="center"/>
          </w:tcPr>
          <w:p w14:paraId="664102A7" w14:textId="44BA9DC7" w:rsidR="008D6157" w:rsidRPr="00BE1A08" w:rsidRDefault="008D6157" w:rsidP="008D6157">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444" w:type="dxa"/>
            <w:tcBorders>
              <w:top w:val="single" w:sz="6" w:space="0" w:color="000000"/>
              <w:left w:val="single" w:sz="6" w:space="0" w:color="000000"/>
              <w:bottom w:val="single" w:sz="6" w:space="0" w:color="000000"/>
              <w:right w:val="single" w:sz="6" w:space="0" w:color="000000"/>
            </w:tcBorders>
            <w:vAlign w:val="center"/>
          </w:tcPr>
          <w:p w14:paraId="4643A4F3"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C1BC6F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70FB03C" w14:textId="40AC8630" w:rsidR="008D6157"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211624E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CE9D564" w14:textId="5B757AF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726" w:type="dxa"/>
            <w:tcBorders>
              <w:top w:val="single" w:sz="6" w:space="0" w:color="000000"/>
              <w:left w:val="single" w:sz="6" w:space="0" w:color="000000"/>
              <w:bottom w:val="single" w:sz="4" w:space="0" w:color="auto"/>
              <w:right w:val="single" w:sz="6" w:space="0" w:color="000000"/>
            </w:tcBorders>
            <w:vAlign w:val="center"/>
          </w:tcPr>
          <w:p w14:paraId="41AC4D1F" w14:textId="74691964" w:rsidR="008D6157" w:rsidRPr="00C57FB8" w:rsidRDefault="008D6157" w:rsidP="008D6157">
            <w:pPr>
              <w:rPr>
                <w:rFonts w:ascii="Times New Roman" w:hAnsi="Times New Roman" w:cs="Times New Roman"/>
                <w:sz w:val="24"/>
                <w:szCs w:val="24"/>
                <w:lang w:val="sr-Latn-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444" w:type="dxa"/>
            <w:tcBorders>
              <w:top w:val="single" w:sz="6" w:space="0" w:color="000000"/>
              <w:left w:val="single" w:sz="6" w:space="0" w:color="000000"/>
              <w:bottom w:val="single" w:sz="6" w:space="0" w:color="000000"/>
              <w:right w:val="single" w:sz="6" w:space="0" w:color="000000"/>
            </w:tcBorders>
            <w:vAlign w:val="center"/>
          </w:tcPr>
          <w:p w14:paraId="0A177867"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96024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172CE9A"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625750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6CB2D9" w14:textId="77777777"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593999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130FB99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4084E52" w14:textId="1FA9AB1A"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0DB16FD1" w14:textId="1A8DC478"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4" w:type="dxa"/>
            <w:tcBorders>
              <w:top w:val="single" w:sz="6" w:space="0" w:color="000000"/>
              <w:left w:val="single" w:sz="6" w:space="0" w:color="000000"/>
              <w:bottom w:val="single" w:sz="6" w:space="0" w:color="000000"/>
              <w:right w:val="single" w:sz="6" w:space="0" w:color="000000"/>
            </w:tcBorders>
            <w:vAlign w:val="center"/>
          </w:tcPr>
          <w:p w14:paraId="6B42767E"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815967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FC8BC27"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195941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B1B5819" w14:textId="02E71218"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761994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29A57E9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C9A0537" w14:textId="1EB022B5"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384622">
              <w:rPr>
                <w:rFonts w:ascii="Times New Roman" w:hAnsi="Times New Roman" w:cs="Times New Roman"/>
                <w:sz w:val="24"/>
                <w:szCs w:val="24"/>
                <w:lang w:val="sr-Cyrl-RS"/>
              </w:rPr>
              <w:t>4</w:t>
            </w:r>
          </w:p>
        </w:tc>
        <w:tc>
          <w:tcPr>
            <w:tcW w:w="7726" w:type="dxa"/>
            <w:tcBorders>
              <w:top w:val="single" w:sz="6" w:space="0" w:color="000000"/>
              <w:left w:val="single" w:sz="6" w:space="0" w:color="000000"/>
              <w:bottom w:val="single" w:sz="4" w:space="0" w:color="auto"/>
              <w:right w:val="single" w:sz="6" w:space="0" w:color="000000"/>
            </w:tcBorders>
            <w:vAlign w:val="center"/>
          </w:tcPr>
          <w:p w14:paraId="7BC6E84B" w14:textId="0E07BC43"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4" w:type="dxa"/>
            <w:tcBorders>
              <w:top w:val="single" w:sz="6" w:space="0" w:color="000000"/>
              <w:left w:val="single" w:sz="6" w:space="0" w:color="000000"/>
              <w:bottom w:val="single" w:sz="6" w:space="0" w:color="000000"/>
              <w:right w:val="single" w:sz="6" w:space="0" w:color="000000"/>
            </w:tcBorders>
            <w:vAlign w:val="center"/>
          </w:tcPr>
          <w:p w14:paraId="3B4686C4"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64038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BACF19C"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423769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18CA72DE" w14:textId="54BDB06F"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595904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D9550B" w14:paraId="4217DC0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7EC55FD" w14:textId="61526175" w:rsidR="00D9550B" w:rsidRPr="00804244"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5</w:t>
            </w:r>
          </w:p>
        </w:tc>
        <w:tc>
          <w:tcPr>
            <w:tcW w:w="7726" w:type="dxa"/>
            <w:tcBorders>
              <w:top w:val="single" w:sz="6" w:space="0" w:color="000000"/>
              <w:left w:val="single" w:sz="6" w:space="0" w:color="000000"/>
              <w:bottom w:val="single" w:sz="4" w:space="0" w:color="auto"/>
              <w:right w:val="single" w:sz="6" w:space="0" w:color="000000"/>
            </w:tcBorders>
            <w:vAlign w:val="center"/>
          </w:tcPr>
          <w:p w14:paraId="50AB9563" w14:textId="358CD287" w:rsidR="00D9550B" w:rsidRPr="00BE1A08" w:rsidRDefault="00D9550B" w:rsidP="00D9550B">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6F307178"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983855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07DEBCD"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86577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18EE5EF" w14:textId="69CBDDD4" w:rsidR="00D9550B" w:rsidRPr="00CC69D5" w:rsidRDefault="00D9550B" w:rsidP="00D9550B">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042575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D9550B" w:rsidRPr="00F3024E" w14:paraId="0CD1C262" w14:textId="77777777" w:rsidTr="00F3024E">
        <w:trPr>
          <w:cantSplit/>
        </w:trPr>
        <w:tc>
          <w:tcPr>
            <w:tcW w:w="10800" w:type="dxa"/>
            <w:gridSpan w:val="3"/>
            <w:vAlign w:val="center"/>
          </w:tcPr>
          <w:p w14:paraId="49819F86" w14:textId="77777777" w:rsidR="00D9550B" w:rsidRDefault="00D9550B" w:rsidP="00D9550B">
            <w:pPr>
              <w:jc w:val="center"/>
              <w:rPr>
                <w:rFonts w:ascii="Times New Roman" w:hAnsi="Times New Roman" w:cs="Times New Roman"/>
                <w:sz w:val="20"/>
                <w:szCs w:val="20"/>
                <w:lang w:val="sr-Cyrl-RS"/>
              </w:rPr>
            </w:pPr>
            <w:r>
              <w:rPr>
                <w:rFonts w:ascii="Times New Roman" w:eastAsia="Times New Roman" w:hAnsi="Times New Roman" w:cs="Times New Roman"/>
                <w:bCs/>
                <w:sz w:val="24"/>
                <w:szCs w:val="24"/>
                <w:lang w:val="sr-Cyrl-RS" w:eastAsia="sr-Latn-RS"/>
              </w:rPr>
              <w:t>Б</w:t>
            </w:r>
            <w:r w:rsidRPr="000548AD">
              <w:rPr>
                <w:rFonts w:ascii="Times New Roman" w:eastAsia="Times New Roman" w:hAnsi="Times New Roman" w:cs="Times New Roman"/>
                <w:bCs/>
                <w:sz w:val="24"/>
                <w:szCs w:val="24"/>
                <w:lang w:val="sr-Cyrl-RS" w:eastAsia="sr-Latn-RS"/>
              </w:rPr>
              <w:t xml:space="preserve">) </w:t>
            </w:r>
            <w:r w:rsidRPr="00AB00E6">
              <w:rPr>
                <w:rFonts w:ascii="Times New Roman" w:eastAsia="Calibri" w:hAnsi="Times New Roman" w:cs="Times New Roman"/>
                <w:sz w:val="24"/>
                <w:szCs w:val="24"/>
                <w:lang w:val="sr-Cyrl-RS"/>
              </w:rPr>
              <w:t>Усклађеност са граничним вредностима емисије (ГВЕ)</w:t>
            </w:r>
          </w:p>
        </w:tc>
      </w:tr>
      <w:tr w:rsidR="00D9550B" w14:paraId="2FDF50F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61ACFE3" w14:textId="77777777" w:rsidR="00D9550B" w:rsidRPr="00314722"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2DA630B3" w14:textId="28533835" w:rsidR="00D9550B" w:rsidRPr="001E327F" w:rsidRDefault="00D9550B" w:rsidP="00D9550B">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су у извештајима о континуланом мерењу примењене прописане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BA718D2"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65952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470094E" w14:textId="77777777" w:rsidR="00D9550B" w:rsidRDefault="00D9550B" w:rsidP="00D9550B">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326977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921C715" w14:textId="77777777" w:rsidR="00D9550B" w:rsidRPr="000B1D9F" w:rsidRDefault="00D9550B" w:rsidP="00D9550B">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384622" w14:paraId="30DA3B43"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C467728" w14:textId="53F63679" w:rsidR="00384622" w:rsidRDefault="00384622" w:rsidP="0038462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726" w:type="dxa"/>
            <w:tcBorders>
              <w:top w:val="single" w:sz="6" w:space="0" w:color="000000"/>
              <w:left w:val="single" w:sz="6" w:space="0" w:color="000000"/>
              <w:bottom w:val="single" w:sz="4" w:space="0" w:color="auto"/>
              <w:right w:val="single" w:sz="6" w:space="0" w:color="000000"/>
            </w:tcBorders>
            <w:vAlign w:val="center"/>
          </w:tcPr>
          <w:p w14:paraId="365623C8" w14:textId="7A2FD349" w:rsidR="00384622" w:rsidRPr="001E327F" w:rsidRDefault="00384622" w:rsidP="00384622">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17C995DA"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520110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B868943"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460798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21A77903" w14:textId="634CAA9A" w:rsidR="00384622" w:rsidRPr="00CC69D5" w:rsidRDefault="00384622" w:rsidP="00384622">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370394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5970D8" w14:paraId="74974F30" w14:textId="77777777" w:rsidTr="005B1A98">
        <w:trPr>
          <w:cantSplit/>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14:paraId="364E4AC6" w14:textId="6438AE05" w:rsidR="005970D8" w:rsidRPr="00CC69D5"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5970D8" w14:paraId="5AC8FD9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4C0C26" w14:textId="39682044"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726" w:type="dxa"/>
            <w:tcBorders>
              <w:top w:val="single" w:sz="6" w:space="0" w:color="000000"/>
              <w:left w:val="single" w:sz="6" w:space="0" w:color="000000"/>
              <w:bottom w:val="single" w:sz="4" w:space="0" w:color="auto"/>
              <w:right w:val="single" w:sz="6" w:space="0" w:color="000000"/>
            </w:tcBorders>
            <w:vAlign w:val="center"/>
          </w:tcPr>
          <w:p w14:paraId="3C7B0385" w14:textId="6AAAB3AE" w:rsidR="005970D8" w:rsidRPr="001E327F" w:rsidRDefault="005970D8" w:rsidP="005970D8">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444" w:type="dxa"/>
            <w:tcBorders>
              <w:top w:val="single" w:sz="6" w:space="0" w:color="000000"/>
              <w:left w:val="single" w:sz="6" w:space="0" w:color="000000"/>
              <w:bottom w:val="single" w:sz="6" w:space="0" w:color="000000"/>
              <w:right w:val="single" w:sz="6" w:space="0" w:color="000000"/>
            </w:tcBorders>
            <w:vAlign w:val="center"/>
          </w:tcPr>
          <w:p w14:paraId="31BC1864" w14:textId="77777777" w:rsidR="005970D8" w:rsidRPr="00B91A69"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180089AD" w14:textId="77777777" w:rsidR="005970D8" w:rsidRPr="00B91A69" w:rsidRDefault="005970D8" w:rsidP="005970D8">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5642C694" w14:textId="67AE610D" w:rsidR="005970D8" w:rsidRPr="00CC69D5"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5970D8" w:rsidRPr="00F3024E" w14:paraId="2397F24E" w14:textId="77777777" w:rsidTr="00F3024E">
        <w:trPr>
          <w:cantSplit/>
        </w:trPr>
        <w:tc>
          <w:tcPr>
            <w:tcW w:w="10800" w:type="dxa"/>
            <w:gridSpan w:val="3"/>
            <w:vAlign w:val="center"/>
          </w:tcPr>
          <w:p w14:paraId="25901590" w14:textId="4FC300DD"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Г) Рад уређаја за смањивање емисије</w:t>
            </w:r>
          </w:p>
        </w:tc>
      </w:tr>
      <w:tr w:rsidR="005970D8" w14:paraId="0B0A379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7376EA2" w14:textId="2DEF2AF5"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726" w:type="dxa"/>
            <w:tcBorders>
              <w:top w:val="single" w:sz="6" w:space="0" w:color="000000"/>
              <w:left w:val="single" w:sz="6" w:space="0" w:color="000000"/>
              <w:bottom w:val="single" w:sz="4" w:space="0" w:color="auto"/>
              <w:right w:val="single" w:sz="6" w:space="0" w:color="000000"/>
            </w:tcBorders>
            <w:vAlign w:val="center"/>
          </w:tcPr>
          <w:p w14:paraId="449BFD97" w14:textId="2E43E91A"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444" w:type="dxa"/>
            <w:tcBorders>
              <w:top w:val="single" w:sz="6" w:space="0" w:color="000000"/>
              <w:left w:val="single" w:sz="6" w:space="0" w:color="000000"/>
              <w:bottom w:val="single" w:sz="6" w:space="0" w:color="000000"/>
              <w:right w:val="single" w:sz="6" w:space="0" w:color="000000"/>
            </w:tcBorders>
            <w:vAlign w:val="center"/>
          </w:tcPr>
          <w:p w14:paraId="2F5C614C"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729788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60D797A"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825998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DFA0121"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4C5F8D4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2036536" w14:textId="67FCCF46"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726" w:type="dxa"/>
            <w:tcBorders>
              <w:top w:val="single" w:sz="6" w:space="0" w:color="000000"/>
              <w:left w:val="single" w:sz="6" w:space="0" w:color="000000"/>
              <w:bottom w:val="single" w:sz="4" w:space="0" w:color="auto"/>
              <w:right w:val="single" w:sz="6" w:space="0" w:color="000000"/>
            </w:tcBorders>
            <w:vAlign w:val="center"/>
          </w:tcPr>
          <w:p w14:paraId="774E9BC9" w14:textId="177E49C2"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4" w:type="dxa"/>
            <w:tcBorders>
              <w:top w:val="single" w:sz="6" w:space="0" w:color="000000"/>
              <w:left w:val="single" w:sz="6" w:space="0" w:color="000000"/>
              <w:bottom w:val="single" w:sz="6" w:space="0" w:color="000000"/>
              <w:right w:val="single" w:sz="6" w:space="0" w:color="000000"/>
            </w:tcBorders>
            <w:vAlign w:val="center"/>
          </w:tcPr>
          <w:p w14:paraId="1DBB5FB0"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852AB8B"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568BCDB5"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17F3B43E"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8BB54DB" w14:textId="27232FD7" w:rsidR="005970D8" w:rsidRPr="00147EA5"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726" w:type="dxa"/>
            <w:tcBorders>
              <w:top w:val="single" w:sz="6" w:space="0" w:color="000000"/>
              <w:left w:val="single" w:sz="6" w:space="0" w:color="000000"/>
              <w:bottom w:val="single" w:sz="4" w:space="0" w:color="auto"/>
              <w:right w:val="single" w:sz="6" w:space="0" w:color="000000"/>
            </w:tcBorders>
            <w:vAlign w:val="center"/>
          </w:tcPr>
          <w:p w14:paraId="15B2FF4C" w14:textId="77777777" w:rsidR="005970D8" w:rsidRDefault="005970D8" w:rsidP="005970D8">
            <w:pPr>
              <w:autoSpaceDE w:val="0"/>
              <w:autoSpaceDN w:val="0"/>
              <w:adjustRightInd w:val="0"/>
              <w:rPr>
                <w:rFonts w:ascii="Times New Roman" w:eastAsia="TimesNewRoman" w:hAnsi="Times New Roman" w:cs="Times New Roman"/>
                <w:sz w:val="24"/>
                <w:szCs w:val="24"/>
                <w:lang w:val="sr-Cyrl-RS"/>
              </w:rPr>
            </w:pPr>
            <w:r w:rsidRPr="00147EA5">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0EF8C0C2" w14:textId="77777777" w:rsidR="005970D8" w:rsidRPr="00147EA5" w:rsidRDefault="005970D8" w:rsidP="005970D8">
            <w:pPr>
              <w:autoSpaceDE w:val="0"/>
              <w:autoSpaceDN w:val="0"/>
              <w:adjustRightInd w:val="0"/>
              <w:rPr>
                <w:rFonts w:ascii="Times New Roman" w:eastAsia="TimesNewRoman" w:hAnsi="Times New Roman" w:cs="Times New Roman"/>
                <w:sz w:val="24"/>
                <w:szCs w:val="24"/>
                <w:lang w:val="sr-Cyrl-RS"/>
              </w:rPr>
            </w:pPr>
            <w:r w:rsidRPr="00310702">
              <w:rPr>
                <w:rFonts w:ascii="Times New Roman" w:eastAsia="TimesNewRoman" w:hAnsi="Times New Roman" w:cs="Times New Roman"/>
                <w:i/>
                <w:sz w:val="24"/>
                <w:szCs w:val="24"/>
                <w:lang w:val="sr-Cyrl-RS"/>
              </w:rPr>
              <w:t>(Обавеза постоји за масени проток од 1 до 3 kg/h)</w:t>
            </w:r>
          </w:p>
        </w:tc>
        <w:tc>
          <w:tcPr>
            <w:tcW w:w="2444" w:type="dxa"/>
            <w:tcBorders>
              <w:top w:val="single" w:sz="6" w:space="0" w:color="000000"/>
              <w:left w:val="single" w:sz="6" w:space="0" w:color="000000"/>
              <w:bottom w:val="single" w:sz="6" w:space="0" w:color="000000"/>
              <w:right w:val="single" w:sz="6" w:space="0" w:color="000000"/>
            </w:tcBorders>
            <w:vAlign w:val="center"/>
          </w:tcPr>
          <w:p w14:paraId="78078427" w14:textId="77777777" w:rsidR="005970D8" w:rsidRPr="00147EA5" w:rsidRDefault="005970D8" w:rsidP="005970D8">
            <w:pPr>
              <w:rPr>
                <w:rFonts w:ascii="Times New Roman" w:hAnsi="Times New Roman" w:cs="Times New Roman"/>
                <w:sz w:val="24"/>
                <w:szCs w:val="24"/>
                <w:lang w:val="sr-Cyrl-RS"/>
              </w:rPr>
            </w:pPr>
            <w:r w:rsidRPr="00147EA5">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147EA5">
                  <w:rPr>
                    <w:rFonts w:ascii="Segoe UI Symbol" w:eastAsia="MS Gothic" w:hAnsi="Segoe UI Symbol" w:cs="Segoe UI Symbol"/>
                    <w:sz w:val="24"/>
                    <w:szCs w:val="24"/>
                    <w:lang w:val="sr-Cyrl-RS"/>
                  </w:rPr>
                  <w:t>☐</w:t>
                </w:r>
              </w:sdtContent>
            </w:sdt>
          </w:p>
          <w:p w14:paraId="5365B66A" w14:textId="77777777" w:rsidR="005970D8" w:rsidRPr="00147EA5" w:rsidRDefault="005970D8" w:rsidP="005970D8">
            <w:pPr>
              <w:rPr>
                <w:rFonts w:ascii="Times New Roman" w:hAnsi="Times New Roman" w:cs="Times New Roman"/>
                <w:bCs/>
                <w:sz w:val="24"/>
                <w:szCs w:val="24"/>
                <w:lang w:val="sr-Cyrl-RS"/>
              </w:rPr>
            </w:pPr>
            <w:r w:rsidRPr="00147EA5">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147EA5">
                  <w:rPr>
                    <w:rFonts w:ascii="Segoe UI Symbol" w:eastAsia="MS Gothic" w:hAnsi="Segoe UI Symbol" w:cs="Segoe UI Symbol"/>
                    <w:sz w:val="24"/>
                    <w:szCs w:val="24"/>
                    <w:lang w:val="sr-Cyrl-RS"/>
                  </w:rPr>
                  <w:t>☐</w:t>
                </w:r>
              </w:sdtContent>
            </w:sdt>
          </w:p>
          <w:p w14:paraId="0013F03B" w14:textId="77777777" w:rsidR="005970D8" w:rsidRPr="00787A46" w:rsidRDefault="005970D8" w:rsidP="005970D8">
            <w:pPr>
              <w:rPr>
                <w:rFonts w:ascii="Times New Roman" w:hAnsi="Times New Roman" w:cs="Times New Roman"/>
                <w:sz w:val="24"/>
                <w:szCs w:val="24"/>
                <w:lang w:val="sr-Latn-C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147EA5">
              <w:rPr>
                <w:rFonts w:ascii="Times New Roman" w:hAnsi="Times New Roman" w:cs="Times New Roman"/>
                <w:sz w:val="24"/>
                <w:szCs w:val="24"/>
                <w:lang w:val="sr-Latn-CS"/>
              </w:rPr>
              <w:t xml:space="preserve"> </w:t>
            </w:r>
          </w:p>
        </w:tc>
      </w:tr>
      <w:tr w:rsidR="005970D8" w:rsidRPr="00F3024E" w14:paraId="3F8C9034" w14:textId="77777777" w:rsidTr="00F3024E">
        <w:trPr>
          <w:cantSplit/>
        </w:trPr>
        <w:tc>
          <w:tcPr>
            <w:tcW w:w="10800" w:type="dxa"/>
            <w:gridSpan w:val="3"/>
            <w:vAlign w:val="center"/>
          </w:tcPr>
          <w:p w14:paraId="7B5679D3" w14:textId="6E5E011F"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sz w:val="24"/>
                <w:szCs w:val="24"/>
                <w:lang w:val="sr-Cyrl-RS"/>
              </w:rPr>
              <w:t>Д</w:t>
            </w:r>
            <w:r w:rsidRPr="00CA24BD">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5970D8" w14:paraId="738F834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E84E898" w14:textId="59EAFF7F"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1BDBD08F" w14:textId="5A93744C"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BE1A08">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ADCC0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36089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1CE5A67"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103613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46F0E9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8262728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1601455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3AC457C" w14:textId="0CF1B9F7"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Д2</w:t>
            </w:r>
          </w:p>
        </w:tc>
        <w:tc>
          <w:tcPr>
            <w:tcW w:w="7726" w:type="dxa"/>
            <w:tcBorders>
              <w:top w:val="single" w:sz="6" w:space="0" w:color="000000"/>
              <w:left w:val="single" w:sz="6" w:space="0" w:color="000000"/>
              <w:bottom w:val="single" w:sz="4" w:space="0" w:color="auto"/>
              <w:right w:val="single" w:sz="6" w:space="0" w:color="000000"/>
            </w:tcBorders>
            <w:vAlign w:val="center"/>
          </w:tcPr>
          <w:p w14:paraId="62F28847" w14:textId="217C6966"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4" w:type="dxa"/>
            <w:tcBorders>
              <w:top w:val="single" w:sz="6" w:space="0" w:color="000000"/>
              <w:left w:val="single" w:sz="6" w:space="0" w:color="000000"/>
              <w:bottom w:val="single" w:sz="6" w:space="0" w:color="000000"/>
              <w:right w:val="single" w:sz="6" w:space="0" w:color="000000"/>
            </w:tcBorders>
            <w:vAlign w:val="center"/>
          </w:tcPr>
          <w:p w14:paraId="0D62EAA8"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6D0E0DC"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64F29BF"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7BC0087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CE53AE" w14:textId="0570CAA0"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726" w:type="dxa"/>
            <w:tcBorders>
              <w:top w:val="single" w:sz="6" w:space="0" w:color="000000"/>
              <w:left w:val="single" w:sz="6" w:space="0" w:color="000000"/>
              <w:bottom w:val="single" w:sz="4" w:space="0" w:color="auto"/>
              <w:right w:val="single" w:sz="6" w:space="0" w:color="000000"/>
            </w:tcBorders>
            <w:vAlign w:val="center"/>
          </w:tcPr>
          <w:p w14:paraId="0B6D06B7" w14:textId="2920BA38"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0A75F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004438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EA003D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062E2B1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BC9A94" w14:textId="2A8A7079"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726" w:type="dxa"/>
            <w:tcBorders>
              <w:top w:val="single" w:sz="6" w:space="0" w:color="000000"/>
              <w:left w:val="single" w:sz="6" w:space="0" w:color="000000"/>
              <w:bottom w:val="single" w:sz="4" w:space="0" w:color="auto"/>
              <w:right w:val="single" w:sz="6" w:space="0" w:color="000000"/>
            </w:tcBorders>
            <w:vAlign w:val="center"/>
          </w:tcPr>
          <w:p w14:paraId="4582C947" w14:textId="05FBC7B6" w:rsidR="005970D8" w:rsidRPr="00BE1A08" w:rsidRDefault="005970D8" w:rsidP="005970D8">
            <w:pPr>
              <w:rPr>
                <w:rFonts w:ascii="Times New Roman" w:hAnsi="Times New Roman" w:cs="Times New Roman"/>
                <w:bCs/>
                <w:sz w:val="24"/>
                <w:szCs w:val="24"/>
                <w:lang w:val="sr-Cyrl-RS"/>
              </w:rPr>
            </w:pPr>
            <w:r w:rsidRPr="00BE1A08">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76E4F86"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448512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DEDA26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826735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5707465" w14:textId="607CBB6F" w:rsidR="005970D8"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7321147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rsidRPr="00F3024E" w14:paraId="1F64424D" w14:textId="77777777" w:rsidTr="00F3024E">
        <w:trPr>
          <w:cantSplit/>
        </w:trPr>
        <w:tc>
          <w:tcPr>
            <w:tcW w:w="10800" w:type="dxa"/>
            <w:gridSpan w:val="3"/>
            <w:vAlign w:val="center"/>
          </w:tcPr>
          <w:p w14:paraId="55CBB366" w14:textId="35959662" w:rsidR="005970D8" w:rsidRPr="00BE1A08" w:rsidRDefault="005970D8" w:rsidP="005970D8">
            <w:pPr>
              <w:jc w:val="center"/>
              <w:rPr>
                <w:rFonts w:ascii="Times New Roman" w:hAnsi="Times New Roman" w:cs="Times New Roman"/>
                <w:bCs/>
                <w:sz w:val="24"/>
                <w:szCs w:val="24"/>
                <w:lang w:val="sr-Cyrl-RS"/>
              </w:rPr>
            </w:pPr>
            <w:r>
              <w:rPr>
                <w:rFonts w:ascii="Times New Roman" w:hAnsi="Times New Roman" w:cs="Times New Roman"/>
                <w:sz w:val="24"/>
                <w:szCs w:val="24"/>
                <w:lang w:val="sr-Cyrl-RS"/>
              </w:rPr>
              <w:t>Ђ</w:t>
            </w:r>
            <w:r w:rsidRPr="00BE1A08">
              <w:rPr>
                <w:rFonts w:ascii="Times New Roman" w:hAnsi="Times New Roman" w:cs="Times New Roman"/>
                <w:sz w:val="24"/>
                <w:szCs w:val="24"/>
                <w:lang w:val="sr-Cyrl-RS"/>
              </w:rPr>
              <w:t xml:space="preserve">) </w:t>
            </w:r>
            <w:r w:rsidRPr="00BE1A08">
              <w:rPr>
                <w:rFonts w:ascii="Times New Roman" w:hAnsi="Times New Roman" w:cs="Times New Roman"/>
                <w:bCs/>
                <w:sz w:val="24"/>
                <w:szCs w:val="24"/>
                <w:lang w:val="sr-Cyrl-RS"/>
              </w:rPr>
              <w:t>Новоизграђени и реконструисани стационарни тачкасти извори загађивања</w:t>
            </w:r>
          </w:p>
          <w:p w14:paraId="1112F596" w14:textId="201A8ABD" w:rsidR="005970D8" w:rsidRPr="00BE1A08" w:rsidRDefault="005970D8" w:rsidP="005970D8">
            <w:pPr>
              <w:jc w:val="both"/>
              <w:rPr>
                <w:rFonts w:ascii="Times New Roman" w:hAnsi="Times New Roman" w:cs="Times New Roman"/>
                <w:bCs/>
                <w:lang w:val="sr-Cyrl-RS"/>
              </w:rPr>
            </w:pPr>
          </w:p>
        </w:tc>
      </w:tr>
      <w:tr w:rsidR="005970D8" w14:paraId="380B7651"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4505066" w14:textId="75C7F5AE"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726" w:type="dxa"/>
            <w:tcBorders>
              <w:top w:val="single" w:sz="6" w:space="0" w:color="000000"/>
              <w:left w:val="single" w:sz="6" w:space="0" w:color="000000"/>
              <w:bottom w:val="single" w:sz="4" w:space="0" w:color="auto"/>
              <w:right w:val="single" w:sz="6" w:space="0" w:color="000000"/>
            </w:tcBorders>
            <w:vAlign w:val="center"/>
          </w:tcPr>
          <w:p w14:paraId="6124BAC2" w14:textId="159CB6A3"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91D7C84"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B3EBE33"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1139A19" w14:textId="77777777" w:rsidR="005970D8" w:rsidRPr="000B1D9F" w:rsidRDefault="005970D8" w:rsidP="005970D8">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0B24EED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C6D4F9" w14:textId="25BF8932" w:rsidR="005970D8" w:rsidRPr="00B22F24"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14:paraId="28E51C3D" w14:textId="5EF85057"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8792A72"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B5E52E5"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C9F0238" w14:textId="77777777" w:rsidR="005970D8" w:rsidRPr="000B1D9F"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2EAA4EA" w14:textId="77777777" w:rsidR="00E6032D" w:rsidRDefault="00E6032D" w:rsidP="00F3024E">
      <w:pPr>
        <w:spacing w:after="0" w:line="240" w:lineRule="auto"/>
        <w:jc w:val="both"/>
        <w:rPr>
          <w:rFonts w:ascii="Times New Roman" w:hAnsi="Times New Roman" w:cs="Times New Roman"/>
          <w:sz w:val="24"/>
          <w:szCs w:val="24"/>
          <w:lang w:val="sr-Cyrl-RS"/>
        </w:rPr>
      </w:pPr>
    </w:p>
    <w:p w14:paraId="19DB9137" w14:textId="77777777" w:rsidR="008147BB" w:rsidRPr="004717CD" w:rsidRDefault="008147BB" w:rsidP="00F3024E">
      <w:pPr>
        <w:pStyle w:val="ListParagraph"/>
        <w:spacing w:after="0" w:line="240" w:lineRule="auto"/>
        <w:ind w:left="0"/>
        <w:jc w:val="both"/>
        <w:rPr>
          <w:rFonts w:ascii="Times New Roman" w:hAnsi="Times New Roman" w:cs="Times New Roman"/>
          <w:sz w:val="24"/>
          <w:szCs w:val="24"/>
          <w:lang w:val="sr-Cyrl-RS"/>
        </w:rPr>
      </w:pPr>
    </w:p>
    <w:tbl>
      <w:tblPr>
        <w:tblStyle w:val="TableGrid"/>
        <w:tblW w:w="10913" w:type="dxa"/>
        <w:tblInd w:w="-635" w:type="dxa"/>
        <w:tblLook w:val="04A0" w:firstRow="1" w:lastRow="0" w:firstColumn="1" w:lastColumn="0" w:noHBand="0" w:noVBand="1"/>
      </w:tblPr>
      <w:tblGrid>
        <w:gridCol w:w="3637"/>
        <w:gridCol w:w="3638"/>
        <w:gridCol w:w="3638"/>
      </w:tblGrid>
      <w:tr w:rsidR="002F4BB0" w:rsidRPr="00CD4537" w14:paraId="35AD4D41" w14:textId="77777777" w:rsidTr="00B8386C">
        <w:tc>
          <w:tcPr>
            <w:tcW w:w="7275" w:type="dxa"/>
            <w:gridSpan w:val="2"/>
            <w:tcBorders>
              <w:top w:val="single" w:sz="4" w:space="0" w:color="auto"/>
              <w:left w:val="single" w:sz="4" w:space="0" w:color="auto"/>
              <w:bottom w:val="single" w:sz="4" w:space="0" w:color="auto"/>
              <w:right w:val="single" w:sz="4" w:space="0" w:color="auto"/>
            </w:tcBorders>
            <w:vAlign w:val="center"/>
          </w:tcPr>
          <w:p w14:paraId="175EA188" w14:textId="77777777" w:rsidR="002F4BB0" w:rsidRPr="009B7A59" w:rsidRDefault="002F4BB0" w:rsidP="00F3024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sz w:val="24"/>
                <w:szCs w:val="24"/>
                <w:lang w:val="sr-Cyrl-RS"/>
              </w:rPr>
              <w:t>П</w:t>
            </w:r>
            <w:r w:rsidRPr="009B7A59">
              <w:rPr>
                <w:rFonts w:ascii="Times New Roman" w:hAnsi="Times New Roman" w:cs="Times New Roman"/>
                <w:sz w:val="24"/>
                <w:szCs w:val="24"/>
                <w:lang w:val="sr-Cyrl-RS"/>
              </w:rPr>
              <w:t>редставници</w:t>
            </w:r>
            <w:r w:rsidR="00B8386C">
              <w:rPr>
                <w:rFonts w:ascii="Times New Roman" w:hAnsi="Times New Roman" w:cs="Times New Roman"/>
                <w:bCs/>
                <w:sz w:val="24"/>
                <w:szCs w:val="24"/>
                <w:lang w:val="sr-Cyrl-RS"/>
              </w:rPr>
              <w:t xml:space="preserve"> оператера</w:t>
            </w:r>
          </w:p>
        </w:tc>
        <w:tc>
          <w:tcPr>
            <w:tcW w:w="3638" w:type="dxa"/>
            <w:tcBorders>
              <w:top w:val="single" w:sz="4" w:space="0" w:color="auto"/>
              <w:left w:val="single" w:sz="4" w:space="0" w:color="auto"/>
              <w:bottom w:val="single" w:sz="4" w:space="0" w:color="auto"/>
              <w:right w:val="single" w:sz="4" w:space="0" w:color="auto"/>
            </w:tcBorders>
            <w:vAlign w:val="center"/>
          </w:tcPr>
          <w:p w14:paraId="24679AE0" w14:textId="77777777" w:rsidR="002F4BB0" w:rsidRPr="00F3024E" w:rsidRDefault="002F4BB0" w:rsidP="00BE1A08">
            <w:pPr>
              <w:overflowPunct w:val="0"/>
              <w:autoSpaceDE w:val="0"/>
              <w:autoSpaceDN w:val="0"/>
              <w:adjustRightInd w:val="0"/>
              <w:jc w:val="center"/>
              <w:rPr>
                <w:rFonts w:ascii="Times New Roman" w:hAnsi="Times New Roman" w:cs="Times New Roman"/>
                <w:bCs/>
                <w:color w:val="000000"/>
                <w:sz w:val="24"/>
                <w:szCs w:val="24"/>
                <w:lang w:val="ru-RU" w:eastAsia="de-DE"/>
              </w:rPr>
            </w:pPr>
            <w:r w:rsidRPr="009B7A5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9B7A59" w14:paraId="19EB5802" w14:textId="77777777" w:rsidTr="00B8386C">
        <w:tc>
          <w:tcPr>
            <w:tcW w:w="3637" w:type="dxa"/>
            <w:tcBorders>
              <w:top w:val="single" w:sz="4" w:space="0" w:color="auto"/>
              <w:left w:val="single" w:sz="4" w:space="0" w:color="auto"/>
              <w:bottom w:val="single" w:sz="4" w:space="0" w:color="auto"/>
              <w:right w:val="single" w:sz="4" w:space="0" w:color="auto"/>
            </w:tcBorders>
          </w:tcPr>
          <w:p w14:paraId="54799433"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Име и презиме</w:t>
            </w:r>
          </w:p>
        </w:tc>
        <w:tc>
          <w:tcPr>
            <w:tcW w:w="3638" w:type="dxa"/>
            <w:tcBorders>
              <w:top w:val="single" w:sz="4" w:space="0" w:color="auto"/>
              <w:left w:val="single" w:sz="4" w:space="0" w:color="auto"/>
              <w:bottom w:val="single" w:sz="4" w:space="0" w:color="auto"/>
              <w:right w:val="single" w:sz="4" w:space="0" w:color="auto"/>
            </w:tcBorders>
          </w:tcPr>
          <w:p w14:paraId="57373D58"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Радно место</w:t>
            </w:r>
          </w:p>
        </w:tc>
        <w:tc>
          <w:tcPr>
            <w:tcW w:w="3638" w:type="dxa"/>
            <w:tcBorders>
              <w:top w:val="single" w:sz="4" w:space="0" w:color="auto"/>
              <w:left w:val="single" w:sz="4" w:space="0" w:color="auto"/>
              <w:bottom w:val="single" w:sz="4" w:space="0" w:color="auto"/>
            </w:tcBorders>
          </w:tcPr>
          <w:p w14:paraId="7D394A7B" w14:textId="77777777" w:rsidR="002F4BB0" w:rsidRPr="009B7A59" w:rsidRDefault="002F4BB0" w:rsidP="00BE1A08">
            <w:pPr>
              <w:jc w:val="cente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Име и презиме</w:t>
            </w:r>
          </w:p>
        </w:tc>
      </w:tr>
      <w:tr w:rsidR="002F4BB0" w:rsidRPr="009B7A59" w14:paraId="492AF939" w14:textId="77777777" w:rsidTr="00B8386C">
        <w:trPr>
          <w:trHeight w:val="287"/>
        </w:trPr>
        <w:tc>
          <w:tcPr>
            <w:tcW w:w="3637" w:type="dxa"/>
            <w:tcBorders>
              <w:top w:val="single" w:sz="4" w:space="0" w:color="auto"/>
              <w:left w:val="single" w:sz="4" w:space="0" w:color="auto"/>
              <w:bottom w:val="single" w:sz="4" w:space="0" w:color="auto"/>
              <w:right w:val="single" w:sz="4" w:space="0" w:color="auto"/>
            </w:tcBorders>
            <w:vAlign w:val="center"/>
          </w:tcPr>
          <w:p w14:paraId="749BF9FF" w14:textId="77777777" w:rsidR="002F4BB0" w:rsidRPr="007B08C7" w:rsidRDefault="002F4BB0" w:rsidP="00F3024E">
            <w:pPr>
              <w:overflowPunct w:val="0"/>
              <w:autoSpaceDE w:val="0"/>
              <w:autoSpaceDN w:val="0"/>
              <w:adjustRightInd w:val="0"/>
              <w:rPr>
                <w:rFonts w:ascii="Times New Roman" w:hAnsi="Times New Roman" w:cs="Times New Roman"/>
                <w:bCs/>
                <w:color w:val="000000"/>
                <w:sz w:val="24"/>
                <w:szCs w:val="24"/>
                <w:lang w:val="en-GB" w:eastAsia="de-DE"/>
              </w:rPr>
            </w:pPr>
            <w:r w:rsidRPr="009B7A59">
              <w:rPr>
                <w:rFonts w:ascii="Times New Roman" w:hAnsi="Times New Roman" w:cs="Times New Roman"/>
                <w:bCs/>
                <w:color w:val="000000"/>
                <w:sz w:val="24"/>
                <w:szCs w:val="24"/>
                <w:lang w:val="sr-Cyrl-RS" w:eastAsia="de-DE"/>
              </w:rPr>
              <w:t>1.</w:t>
            </w:r>
          </w:p>
        </w:tc>
        <w:tc>
          <w:tcPr>
            <w:tcW w:w="3638" w:type="dxa"/>
            <w:tcBorders>
              <w:top w:val="single" w:sz="4" w:space="0" w:color="auto"/>
              <w:left w:val="single" w:sz="4" w:space="0" w:color="auto"/>
              <w:bottom w:val="single" w:sz="4" w:space="0" w:color="auto"/>
              <w:right w:val="single" w:sz="4" w:space="0" w:color="auto"/>
            </w:tcBorders>
          </w:tcPr>
          <w:p w14:paraId="1ED2B176"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38" w:type="dxa"/>
            <w:tcBorders>
              <w:top w:val="single" w:sz="4" w:space="0" w:color="auto"/>
              <w:left w:val="single" w:sz="4" w:space="0" w:color="auto"/>
              <w:bottom w:val="single" w:sz="4" w:space="0" w:color="auto"/>
            </w:tcBorders>
          </w:tcPr>
          <w:p w14:paraId="13EEBF3B" w14:textId="77777777" w:rsidR="002F4BB0" w:rsidRPr="009B7A59" w:rsidRDefault="002F4BB0" w:rsidP="00F3024E">
            <w:pPr>
              <w:overflowPunct w:val="0"/>
              <w:autoSpaceDE w:val="0"/>
              <w:autoSpaceDN w:val="0"/>
              <w:adjustRightInd w:val="0"/>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1.</w:t>
            </w:r>
          </w:p>
        </w:tc>
      </w:tr>
      <w:tr w:rsidR="002F4BB0" w:rsidRPr="009B7A59" w14:paraId="149851A4" w14:textId="77777777" w:rsidTr="00B8386C">
        <w:trPr>
          <w:trHeight w:val="323"/>
        </w:trPr>
        <w:tc>
          <w:tcPr>
            <w:tcW w:w="3637" w:type="dxa"/>
            <w:tcBorders>
              <w:top w:val="single" w:sz="4" w:space="0" w:color="auto"/>
              <w:left w:val="single" w:sz="4" w:space="0" w:color="auto"/>
              <w:bottom w:val="single" w:sz="4" w:space="0" w:color="auto"/>
              <w:right w:val="single" w:sz="4" w:space="0" w:color="auto"/>
            </w:tcBorders>
            <w:vAlign w:val="center"/>
          </w:tcPr>
          <w:p w14:paraId="10A7E1CB"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 xml:space="preserve">2. </w:t>
            </w:r>
          </w:p>
        </w:tc>
        <w:tc>
          <w:tcPr>
            <w:tcW w:w="3638" w:type="dxa"/>
            <w:tcBorders>
              <w:top w:val="single" w:sz="4" w:space="0" w:color="auto"/>
              <w:left w:val="single" w:sz="4" w:space="0" w:color="auto"/>
              <w:bottom w:val="single" w:sz="4" w:space="0" w:color="auto"/>
              <w:right w:val="single" w:sz="4" w:space="0" w:color="auto"/>
            </w:tcBorders>
          </w:tcPr>
          <w:p w14:paraId="138DD34F"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42F037C5"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2.</w:t>
            </w:r>
          </w:p>
        </w:tc>
      </w:tr>
      <w:tr w:rsidR="002F4BB0" w:rsidRPr="009B7A59" w14:paraId="7693876E" w14:textId="77777777" w:rsidTr="00B8386C">
        <w:trPr>
          <w:trHeight w:val="224"/>
        </w:trPr>
        <w:tc>
          <w:tcPr>
            <w:tcW w:w="3637" w:type="dxa"/>
            <w:tcBorders>
              <w:top w:val="single" w:sz="4" w:space="0" w:color="auto"/>
              <w:left w:val="single" w:sz="4" w:space="0" w:color="auto"/>
              <w:bottom w:val="single" w:sz="4" w:space="0" w:color="auto"/>
              <w:right w:val="single" w:sz="4" w:space="0" w:color="auto"/>
            </w:tcBorders>
            <w:vAlign w:val="center"/>
          </w:tcPr>
          <w:p w14:paraId="3280C896"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 xml:space="preserve">3. </w:t>
            </w:r>
          </w:p>
        </w:tc>
        <w:tc>
          <w:tcPr>
            <w:tcW w:w="3638" w:type="dxa"/>
            <w:tcBorders>
              <w:top w:val="single" w:sz="4" w:space="0" w:color="auto"/>
              <w:left w:val="single" w:sz="4" w:space="0" w:color="auto"/>
              <w:bottom w:val="single" w:sz="4" w:space="0" w:color="auto"/>
              <w:right w:val="single" w:sz="4" w:space="0" w:color="auto"/>
            </w:tcBorders>
          </w:tcPr>
          <w:p w14:paraId="119BEB53"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259F97E9"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3.</w:t>
            </w:r>
          </w:p>
        </w:tc>
      </w:tr>
      <w:tr w:rsidR="002F4BB0" w:rsidRPr="009B7A59" w14:paraId="0FB48A69" w14:textId="77777777" w:rsidTr="00A47E26">
        <w:tc>
          <w:tcPr>
            <w:tcW w:w="10913" w:type="dxa"/>
            <w:gridSpan w:val="3"/>
            <w:tcBorders>
              <w:top w:val="single" w:sz="4" w:space="0" w:color="auto"/>
              <w:left w:val="single" w:sz="4" w:space="0" w:color="auto"/>
              <w:bottom w:val="single" w:sz="4" w:space="0" w:color="auto"/>
              <w:right w:val="single" w:sz="4" w:space="0" w:color="auto"/>
            </w:tcBorders>
          </w:tcPr>
          <w:p w14:paraId="14BF733C" w14:textId="77777777" w:rsidR="002F4BB0" w:rsidRPr="009B7A59" w:rsidRDefault="00D35A14"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D35A14">
              <w:rPr>
                <w:rFonts w:ascii="Times New Roman" w:hAnsi="Times New Roman" w:cs="Times New Roman"/>
                <w:bCs/>
                <w:color w:val="000000"/>
                <w:sz w:val="24"/>
                <w:szCs w:val="24"/>
                <w:lang w:val="sr-Cyrl-RS" w:eastAsia="de-DE"/>
              </w:rPr>
              <w:t>Датум инспекцијског надзора:</w:t>
            </w:r>
          </w:p>
        </w:tc>
      </w:tr>
      <w:tr w:rsidR="002F4BB0" w:rsidRPr="00F3024E" w14:paraId="401CC360" w14:textId="77777777" w:rsidTr="00B0057D">
        <w:trPr>
          <w:trHeight w:val="386"/>
        </w:trPr>
        <w:tc>
          <w:tcPr>
            <w:tcW w:w="10913" w:type="dxa"/>
            <w:gridSpan w:val="3"/>
            <w:tcBorders>
              <w:top w:val="single" w:sz="4" w:space="0" w:color="auto"/>
              <w:left w:val="single" w:sz="4" w:space="0" w:color="auto"/>
              <w:bottom w:val="single" w:sz="4" w:space="0" w:color="auto"/>
              <w:right w:val="single" w:sz="4" w:space="0" w:color="auto"/>
            </w:tcBorders>
          </w:tcPr>
          <w:p w14:paraId="1C2E87CF" w14:textId="0A4BE2F4"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F3024E">
              <w:rPr>
                <w:rFonts w:ascii="Times New Roman" w:hAnsi="Times New Roman" w:cs="Times New Roman"/>
                <w:bCs/>
                <w:color w:val="000000"/>
                <w:sz w:val="24"/>
                <w:szCs w:val="24"/>
                <w:lang w:val="ru-RU" w:eastAsia="de-DE"/>
              </w:rPr>
              <w:t>Б</w:t>
            </w:r>
            <w:r w:rsidRPr="009B7A5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2A80160A" w14:textId="77777777" w:rsidR="003B4215" w:rsidRPr="007B08C7" w:rsidRDefault="003B4215" w:rsidP="00F3024E">
      <w:pPr>
        <w:spacing w:after="0" w:line="240" w:lineRule="auto"/>
        <w:jc w:val="both"/>
        <w:rPr>
          <w:rFonts w:ascii="Times New Roman" w:hAnsi="Times New Roman" w:cs="Times New Roman"/>
          <w:sz w:val="2"/>
          <w:szCs w:val="2"/>
          <w:lang w:val="sr-Cyrl-RS"/>
        </w:rPr>
      </w:pPr>
    </w:p>
    <w:sectPr w:rsidR="003B4215" w:rsidRPr="007B08C7" w:rsidSect="00954E60">
      <w:headerReference w:type="default" r:id="rId8"/>
      <w:footerReference w:type="default" r:id="rId9"/>
      <w:pgSz w:w="12240" w:h="15840" w:code="1"/>
      <w:pgMar w:top="1440" w:right="1440" w:bottom="1080" w:left="144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F9BA" w14:textId="77777777" w:rsidR="0053109D" w:rsidRDefault="0053109D" w:rsidP="002F4BB0">
      <w:pPr>
        <w:spacing w:after="0" w:line="240" w:lineRule="auto"/>
      </w:pPr>
      <w:r>
        <w:separator/>
      </w:r>
    </w:p>
  </w:endnote>
  <w:endnote w:type="continuationSeparator" w:id="0">
    <w:p w14:paraId="4E6758B7" w14:textId="77777777" w:rsidR="0053109D" w:rsidRDefault="0053109D"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39E97237" w14:textId="622D99B2" w:rsidR="002F4BB0" w:rsidRPr="009329E7" w:rsidRDefault="002F4BB0">
        <w:pPr>
          <w:pStyle w:val="Footer"/>
          <w:jc w:val="right"/>
          <w:rPr>
            <w:rFonts w:ascii="Times New Roman" w:hAnsi="Times New Roman" w:cs="Times New Roman"/>
            <w:sz w:val="24"/>
            <w:szCs w:val="24"/>
          </w:rPr>
        </w:pPr>
        <w:r w:rsidRPr="009329E7">
          <w:rPr>
            <w:rFonts w:ascii="Times New Roman" w:hAnsi="Times New Roman" w:cs="Times New Roman"/>
            <w:sz w:val="24"/>
            <w:szCs w:val="24"/>
          </w:rPr>
          <w:fldChar w:fldCharType="begin"/>
        </w:r>
        <w:r w:rsidRPr="009329E7">
          <w:rPr>
            <w:rFonts w:ascii="Times New Roman" w:hAnsi="Times New Roman" w:cs="Times New Roman"/>
            <w:sz w:val="24"/>
            <w:szCs w:val="24"/>
          </w:rPr>
          <w:instrText xml:space="preserve"> PAGE   \* MERGEFORMAT </w:instrText>
        </w:r>
        <w:r w:rsidRPr="009329E7">
          <w:rPr>
            <w:rFonts w:ascii="Times New Roman" w:hAnsi="Times New Roman" w:cs="Times New Roman"/>
            <w:sz w:val="24"/>
            <w:szCs w:val="24"/>
          </w:rPr>
          <w:fldChar w:fldCharType="separate"/>
        </w:r>
        <w:r w:rsidR="00CB60F7">
          <w:rPr>
            <w:rFonts w:ascii="Times New Roman" w:hAnsi="Times New Roman" w:cs="Times New Roman"/>
            <w:noProof/>
            <w:sz w:val="24"/>
            <w:szCs w:val="24"/>
          </w:rPr>
          <w:t>1</w:t>
        </w:r>
        <w:r w:rsidRPr="009329E7">
          <w:rPr>
            <w:rFonts w:ascii="Times New Roman" w:hAnsi="Times New Roman" w:cs="Times New Roman"/>
            <w:noProof/>
            <w:sz w:val="24"/>
            <w:szCs w:val="24"/>
          </w:rPr>
          <w:fldChar w:fldCharType="end"/>
        </w:r>
        <w:r w:rsidR="004717CD">
          <w:rPr>
            <w:rFonts w:ascii="Times New Roman" w:hAnsi="Times New Roman" w:cs="Times New Roman"/>
            <w:noProof/>
            <w:sz w:val="24"/>
            <w:szCs w:val="24"/>
            <w:lang w:val="sr-Cyrl-RS"/>
          </w:rPr>
          <w:t>/</w:t>
        </w:r>
        <w:r w:rsidR="00914E88">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B679" w14:textId="77777777" w:rsidR="0053109D" w:rsidRDefault="0053109D" w:rsidP="002F4BB0">
      <w:pPr>
        <w:spacing w:after="0" w:line="240" w:lineRule="auto"/>
      </w:pPr>
      <w:r>
        <w:separator/>
      </w:r>
    </w:p>
  </w:footnote>
  <w:footnote w:type="continuationSeparator" w:id="0">
    <w:p w14:paraId="2C5F24CF" w14:textId="77777777" w:rsidR="0053109D" w:rsidRDefault="0053109D"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0E82" w14:textId="77777777" w:rsidR="00912A52" w:rsidRDefault="00912A52">
    <w:pPr>
      <w:pStyle w:val="Header"/>
    </w:pPr>
  </w:p>
  <w:tbl>
    <w:tblPr>
      <w:tblW w:w="10530" w:type="dxa"/>
      <w:tblInd w:w="-612" w:type="dxa"/>
      <w:tblLook w:val="04A0" w:firstRow="1" w:lastRow="0" w:firstColumn="1" w:lastColumn="0" w:noHBand="0" w:noVBand="1"/>
    </w:tblPr>
    <w:tblGrid>
      <w:gridCol w:w="990"/>
      <w:gridCol w:w="6750"/>
      <w:gridCol w:w="2790"/>
    </w:tblGrid>
    <w:tr w:rsidR="00A046D4" w:rsidRPr="00A046D4" w14:paraId="537C942E" w14:textId="77777777" w:rsidTr="00701377">
      <w:trPr>
        <w:trHeight w:val="1088"/>
      </w:trPr>
      <w:tc>
        <w:tcPr>
          <w:tcW w:w="990" w:type="dxa"/>
        </w:tcPr>
        <w:p w14:paraId="338E62E6" w14:textId="77777777" w:rsidR="00A046D4" w:rsidRPr="00A046D4" w:rsidRDefault="00A046D4" w:rsidP="00A046D4">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A046D4">
            <w:rPr>
              <w:rFonts w:ascii="Times New Roman" w:eastAsia="Times New Roman" w:hAnsi="Times New Roman" w:cs="Times New Roman"/>
              <w:noProof/>
              <w:sz w:val="24"/>
              <w:szCs w:val="24"/>
            </w:rPr>
            <w:drawing>
              <wp:inline distT="0" distB="0" distL="0" distR="0" wp14:anchorId="1BF40146" wp14:editId="7AE1A02F">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7874EAF1" w14:textId="77777777" w:rsidR="00A046D4" w:rsidRPr="00F3024E" w:rsidRDefault="00A046D4" w:rsidP="00F3024E">
          <w:pPr>
            <w:spacing w:after="0" w:line="240" w:lineRule="auto"/>
            <w:rPr>
              <w:rFonts w:ascii="Times New Roman" w:eastAsia="Times New Roman" w:hAnsi="Times New Roman" w:cs="Times New Roman"/>
              <w:b/>
              <w:lang w:val="ru-RU" w:eastAsia="sr-Latn-RS"/>
            </w:rPr>
          </w:pPr>
          <w:r w:rsidRPr="00F3024E">
            <w:rPr>
              <w:rFonts w:ascii="Times New Roman" w:eastAsia="Times New Roman" w:hAnsi="Times New Roman" w:cs="Times New Roman"/>
              <w:b/>
              <w:lang w:val="ru-RU" w:eastAsia="sr-Latn-RS"/>
            </w:rPr>
            <w:t>Република Србија</w:t>
          </w:r>
        </w:p>
        <w:p w14:paraId="38661424" w14:textId="77777777" w:rsidR="00A046D4" w:rsidRPr="00F3024E" w:rsidRDefault="00A046D4" w:rsidP="00F3024E">
          <w:pPr>
            <w:spacing w:after="0" w:line="240" w:lineRule="auto"/>
            <w:rPr>
              <w:rFonts w:ascii="Times New Roman" w:eastAsia="Times New Roman" w:hAnsi="Times New Roman" w:cs="Times New Roman"/>
              <w:lang w:val="ru-RU" w:eastAsia="sr-Latn-RS"/>
            </w:rPr>
          </w:pPr>
          <w:r w:rsidRPr="00F3024E">
            <w:rPr>
              <w:rFonts w:ascii="Times New Roman" w:eastAsia="Times New Roman" w:hAnsi="Times New Roman" w:cs="Times New Roman"/>
              <w:lang w:val="ru-RU" w:eastAsia="sr-Latn-RS"/>
            </w:rPr>
            <w:t>МИНИСТАРСТВО ЗАШТИТЕ ЖИВОТНЕ СРЕДИНЕ</w:t>
          </w:r>
        </w:p>
        <w:p w14:paraId="3F1F74D5" w14:textId="77777777"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eastAsia="sr-Latn-RS"/>
            </w:rPr>
          </w:pPr>
          <w:r w:rsidRPr="00F3024E">
            <w:rPr>
              <w:rFonts w:ascii="Times New Roman" w:eastAsia="Times New Roman" w:hAnsi="Times New Roman" w:cs="Times New Roman"/>
              <w:lang w:val="ru-RU" w:eastAsia="sr-Latn-RS"/>
            </w:rPr>
            <w:t>Сектор за надзор и пре</w:t>
          </w:r>
          <w:r w:rsidR="004F260E">
            <w:rPr>
              <w:rFonts w:ascii="Times New Roman" w:eastAsia="Times New Roman" w:hAnsi="Times New Roman" w:cs="Times New Roman"/>
              <w:lang w:val="ru-RU" w:eastAsia="sr-Latn-RS"/>
            </w:rPr>
            <w:t>вентивно деловање</w:t>
          </w:r>
          <w:r w:rsidRPr="00F3024E">
            <w:rPr>
              <w:rFonts w:ascii="Times New Roman" w:eastAsia="Times New Roman" w:hAnsi="Times New Roman" w:cs="Times New Roman"/>
              <w:lang w:val="ru-RU" w:eastAsia="sr-Latn-RS"/>
            </w:rPr>
            <w:t xml:space="preserve"> у животној средини</w:t>
          </w:r>
        </w:p>
        <w:p w14:paraId="34D1DB5B" w14:textId="77777777"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eastAsia="sr-Latn-RS"/>
            </w:rPr>
          </w:pPr>
          <w:r w:rsidRPr="00F3024E">
            <w:rPr>
              <w:rFonts w:ascii="Times New Roman" w:eastAsia="Times New Roman" w:hAnsi="Times New Roman" w:cs="Times New Roman"/>
              <w:lang w:val="ru-RU" w:eastAsia="sr-Latn-RS"/>
            </w:rPr>
            <w:t>Инспекција за заштиту животне средине</w:t>
          </w:r>
        </w:p>
      </w:tc>
      <w:tc>
        <w:tcPr>
          <w:tcW w:w="2790" w:type="dxa"/>
          <w:vAlign w:val="center"/>
        </w:tcPr>
        <w:p w14:paraId="71D912F0" w14:textId="48B1903A" w:rsidR="00A046D4" w:rsidRPr="00914E88" w:rsidRDefault="00D77BCA" w:rsidP="00F3024E">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CB60F7">
            <w:rPr>
              <w:rFonts w:ascii="Times New Roman" w:eastAsia="Times New Roman" w:hAnsi="Times New Roman" w:cs="Times New Roman"/>
              <w:b/>
              <w:sz w:val="24"/>
              <w:szCs w:val="24"/>
              <w:lang w:val="sr-Cyrl-RS" w:eastAsia="sr-Latn-RS"/>
            </w:rPr>
            <w:t>КЛ-</w:t>
          </w:r>
          <w:r w:rsidR="00914E88">
            <w:rPr>
              <w:rFonts w:ascii="Times New Roman" w:eastAsia="Times New Roman" w:hAnsi="Times New Roman" w:cs="Times New Roman"/>
              <w:b/>
              <w:sz w:val="24"/>
              <w:szCs w:val="24"/>
              <w:lang w:eastAsia="sr-Latn-RS"/>
            </w:rPr>
            <w:t>19</w:t>
          </w:r>
          <w:r w:rsidR="00CB60F7">
            <w:rPr>
              <w:rFonts w:ascii="Times New Roman" w:eastAsia="Times New Roman" w:hAnsi="Times New Roman" w:cs="Times New Roman"/>
              <w:b/>
              <w:sz w:val="24"/>
              <w:szCs w:val="24"/>
              <w:lang w:val="sr-Cyrl-RS" w:eastAsia="sr-Latn-RS"/>
            </w:rPr>
            <w:t>-0</w:t>
          </w:r>
          <w:r w:rsidR="00914E88">
            <w:rPr>
              <w:rFonts w:ascii="Times New Roman" w:eastAsia="Times New Roman" w:hAnsi="Times New Roman" w:cs="Times New Roman"/>
              <w:b/>
              <w:sz w:val="24"/>
              <w:szCs w:val="24"/>
              <w:lang w:eastAsia="sr-Latn-RS"/>
            </w:rPr>
            <w:t>1</w:t>
          </w:r>
          <w:r w:rsidR="00CB60F7">
            <w:rPr>
              <w:rFonts w:ascii="Times New Roman" w:eastAsia="Times New Roman" w:hAnsi="Times New Roman" w:cs="Times New Roman"/>
              <w:b/>
              <w:sz w:val="24"/>
              <w:szCs w:val="24"/>
              <w:lang w:val="sr-Cyrl-RS" w:eastAsia="sr-Latn-RS"/>
            </w:rPr>
            <w:t>/0</w:t>
          </w:r>
          <w:r w:rsidR="00914E88">
            <w:rPr>
              <w:rFonts w:ascii="Times New Roman" w:eastAsia="Times New Roman" w:hAnsi="Times New Roman" w:cs="Times New Roman"/>
              <w:b/>
              <w:sz w:val="24"/>
              <w:szCs w:val="24"/>
              <w:lang w:eastAsia="sr-Latn-RS"/>
            </w:rPr>
            <w:t>1</w:t>
          </w:r>
        </w:p>
        <w:p w14:paraId="66ED5982" w14:textId="755E86F4" w:rsidR="00A046D4" w:rsidRPr="00CD4537" w:rsidRDefault="00B83D82" w:rsidP="004F260E">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Датум:</w:t>
          </w:r>
          <w:r w:rsidR="00CD4537">
            <w:rPr>
              <w:rFonts w:ascii="Times New Roman" w:eastAsia="Times New Roman" w:hAnsi="Times New Roman" w:cs="Times New Roman"/>
              <w:b/>
              <w:sz w:val="24"/>
              <w:szCs w:val="24"/>
              <w:lang w:val="sr-Latn-RS"/>
            </w:rPr>
            <w:t xml:space="preserve"> 29.12.2025.</w:t>
          </w:r>
        </w:p>
        <w:p w14:paraId="2FB87C12" w14:textId="005858F6" w:rsidR="00B56499" w:rsidRPr="00B56499" w:rsidRDefault="00B56499" w:rsidP="004F260E">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B56499">
            <w:rPr>
              <w:rFonts w:ascii="Times New Roman" w:eastAsia="Times New Roman" w:hAnsi="Times New Roman" w:cs="Times New Roman"/>
              <w:b/>
              <w:bCs/>
              <w:sz w:val="24"/>
              <w:szCs w:val="24"/>
              <w:lang w:val="sr-Cyrl-RS" w:eastAsia="sr-Latn-RS"/>
            </w:rPr>
            <w:t>ИНД</w:t>
          </w:r>
        </w:p>
      </w:tc>
    </w:tr>
  </w:tbl>
  <w:p w14:paraId="6D4D9A26" w14:textId="77777777" w:rsidR="00912A52" w:rsidRDefault="0091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641"/>
    <w:multiLevelType w:val="hybridMultilevel"/>
    <w:tmpl w:val="0196355C"/>
    <w:lvl w:ilvl="0" w:tplc="E8325FF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num w:numId="1" w16cid:durableId="125196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3B66"/>
    <w:rsid w:val="000045F9"/>
    <w:rsid w:val="00004AAF"/>
    <w:rsid w:val="00006812"/>
    <w:rsid w:val="00007382"/>
    <w:rsid w:val="000158AC"/>
    <w:rsid w:val="0002445F"/>
    <w:rsid w:val="0002693C"/>
    <w:rsid w:val="00034597"/>
    <w:rsid w:val="0004078C"/>
    <w:rsid w:val="00043D9A"/>
    <w:rsid w:val="00045F7B"/>
    <w:rsid w:val="000468C0"/>
    <w:rsid w:val="00050D2B"/>
    <w:rsid w:val="000543D0"/>
    <w:rsid w:val="000548AD"/>
    <w:rsid w:val="000605A6"/>
    <w:rsid w:val="000644C2"/>
    <w:rsid w:val="00074558"/>
    <w:rsid w:val="00075D4C"/>
    <w:rsid w:val="00084BB6"/>
    <w:rsid w:val="00091EFD"/>
    <w:rsid w:val="00093D14"/>
    <w:rsid w:val="000940A8"/>
    <w:rsid w:val="0009524F"/>
    <w:rsid w:val="00095B9B"/>
    <w:rsid w:val="00096C08"/>
    <w:rsid w:val="000A3614"/>
    <w:rsid w:val="000A409B"/>
    <w:rsid w:val="000A6E0E"/>
    <w:rsid w:val="000B5014"/>
    <w:rsid w:val="000C6E29"/>
    <w:rsid w:val="000D0380"/>
    <w:rsid w:val="000D0666"/>
    <w:rsid w:val="000D1C99"/>
    <w:rsid w:val="000D22E2"/>
    <w:rsid w:val="000D327B"/>
    <w:rsid w:val="000F0E45"/>
    <w:rsid w:val="000F1D01"/>
    <w:rsid w:val="000F3D84"/>
    <w:rsid w:val="000F6AD6"/>
    <w:rsid w:val="000F76DD"/>
    <w:rsid w:val="0010311D"/>
    <w:rsid w:val="00103168"/>
    <w:rsid w:val="0010370B"/>
    <w:rsid w:val="00103BED"/>
    <w:rsid w:val="00103D92"/>
    <w:rsid w:val="00112369"/>
    <w:rsid w:val="0011473E"/>
    <w:rsid w:val="00121D8F"/>
    <w:rsid w:val="00123536"/>
    <w:rsid w:val="00126E44"/>
    <w:rsid w:val="001423BC"/>
    <w:rsid w:val="00142D35"/>
    <w:rsid w:val="00143EF9"/>
    <w:rsid w:val="001445B3"/>
    <w:rsid w:val="00145E49"/>
    <w:rsid w:val="00147EA5"/>
    <w:rsid w:val="00154E37"/>
    <w:rsid w:val="00156453"/>
    <w:rsid w:val="00157A94"/>
    <w:rsid w:val="00157FF6"/>
    <w:rsid w:val="00164820"/>
    <w:rsid w:val="00165BBB"/>
    <w:rsid w:val="001678FA"/>
    <w:rsid w:val="0017007B"/>
    <w:rsid w:val="00170614"/>
    <w:rsid w:val="0017115F"/>
    <w:rsid w:val="00171EFE"/>
    <w:rsid w:val="0017354F"/>
    <w:rsid w:val="001801F2"/>
    <w:rsid w:val="00183E96"/>
    <w:rsid w:val="00184ED2"/>
    <w:rsid w:val="00187A07"/>
    <w:rsid w:val="00193DF0"/>
    <w:rsid w:val="00194EB3"/>
    <w:rsid w:val="00197985"/>
    <w:rsid w:val="001A0C5B"/>
    <w:rsid w:val="001B1E98"/>
    <w:rsid w:val="001C348A"/>
    <w:rsid w:val="001C460E"/>
    <w:rsid w:val="001C4DB5"/>
    <w:rsid w:val="001C55F8"/>
    <w:rsid w:val="001C7336"/>
    <w:rsid w:val="001D3D04"/>
    <w:rsid w:val="001E14F8"/>
    <w:rsid w:val="001E327F"/>
    <w:rsid w:val="0020147F"/>
    <w:rsid w:val="00202B35"/>
    <w:rsid w:val="00204626"/>
    <w:rsid w:val="00212EE3"/>
    <w:rsid w:val="002179EF"/>
    <w:rsid w:val="0022559F"/>
    <w:rsid w:val="0023235B"/>
    <w:rsid w:val="00232F97"/>
    <w:rsid w:val="00234C0A"/>
    <w:rsid w:val="00252972"/>
    <w:rsid w:val="002608DD"/>
    <w:rsid w:val="00275D38"/>
    <w:rsid w:val="00276327"/>
    <w:rsid w:val="00277B4C"/>
    <w:rsid w:val="00292129"/>
    <w:rsid w:val="002924FC"/>
    <w:rsid w:val="00293081"/>
    <w:rsid w:val="00294F19"/>
    <w:rsid w:val="002965B0"/>
    <w:rsid w:val="00296BC5"/>
    <w:rsid w:val="00296FFF"/>
    <w:rsid w:val="002A50C5"/>
    <w:rsid w:val="002B0F34"/>
    <w:rsid w:val="002B7150"/>
    <w:rsid w:val="002D41DF"/>
    <w:rsid w:val="002E306A"/>
    <w:rsid w:val="002E629A"/>
    <w:rsid w:val="002F0CD6"/>
    <w:rsid w:val="002F1613"/>
    <w:rsid w:val="002F4BB0"/>
    <w:rsid w:val="002F4E84"/>
    <w:rsid w:val="00303519"/>
    <w:rsid w:val="00310702"/>
    <w:rsid w:val="0031245E"/>
    <w:rsid w:val="00317DEB"/>
    <w:rsid w:val="00325149"/>
    <w:rsid w:val="00334972"/>
    <w:rsid w:val="00347E33"/>
    <w:rsid w:val="00350360"/>
    <w:rsid w:val="00353C28"/>
    <w:rsid w:val="00354C56"/>
    <w:rsid w:val="00360B0F"/>
    <w:rsid w:val="003611CC"/>
    <w:rsid w:val="00362814"/>
    <w:rsid w:val="0036284E"/>
    <w:rsid w:val="00363474"/>
    <w:rsid w:val="00371337"/>
    <w:rsid w:val="00373BF4"/>
    <w:rsid w:val="00384622"/>
    <w:rsid w:val="003A2A6E"/>
    <w:rsid w:val="003A3A5F"/>
    <w:rsid w:val="003A7A25"/>
    <w:rsid w:val="003B1AFE"/>
    <w:rsid w:val="003B4215"/>
    <w:rsid w:val="003B4D4C"/>
    <w:rsid w:val="003C0610"/>
    <w:rsid w:val="003C4833"/>
    <w:rsid w:val="003C4900"/>
    <w:rsid w:val="003D0D7E"/>
    <w:rsid w:val="003E34EE"/>
    <w:rsid w:val="00402575"/>
    <w:rsid w:val="00406EA6"/>
    <w:rsid w:val="004306AD"/>
    <w:rsid w:val="00431091"/>
    <w:rsid w:val="00432F3C"/>
    <w:rsid w:val="00434CFA"/>
    <w:rsid w:val="0043646F"/>
    <w:rsid w:val="00445F16"/>
    <w:rsid w:val="00446E56"/>
    <w:rsid w:val="00446E71"/>
    <w:rsid w:val="004602AA"/>
    <w:rsid w:val="004717CD"/>
    <w:rsid w:val="0047216E"/>
    <w:rsid w:val="004759C7"/>
    <w:rsid w:val="004767D3"/>
    <w:rsid w:val="004779F4"/>
    <w:rsid w:val="004845A4"/>
    <w:rsid w:val="004A077C"/>
    <w:rsid w:val="004A347F"/>
    <w:rsid w:val="004A377E"/>
    <w:rsid w:val="004A3804"/>
    <w:rsid w:val="004A382C"/>
    <w:rsid w:val="004B0A6C"/>
    <w:rsid w:val="004C3399"/>
    <w:rsid w:val="004C5161"/>
    <w:rsid w:val="004C7515"/>
    <w:rsid w:val="004D0F32"/>
    <w:rsid w:val="004D332D"/>
    <w:rsid w:val="004D6784"/>
    <w:rsid w:val="004F260E"/>
    <w:rsid w:val="004F327F"/>
    <w:rsid w:val="004F3AA3"/>
    <w:rsid w:val="0050045D"/>
    <w:rsid w:val="005018F7"/>
    <w:rsid w:val="0051021A"/>
    <w:rsid w:val="00524A3E"/>
    <w:rsid w:val="0053109D"/>
    <w:rsid w:val="00532ACF"/>
    <w:rsid w:val="005367FA"/>
    <w:rsid w:val="005445E7"/>
    <w:rsid w:val="0055601B"/>
    <w:rsid w:val="00557D18"/>
    <w:rsid w:val="00562C01"/>
    <w:rsid w:val="00565B86"/>
    <w:rsid w:val="005701E6"/>
    <w:rsid w:val="0059463D"/>
    <w:rsid w:val="005970D8"/>
    <w:rsid w:val="0059725E"/>
    <w:rsid w:val="005A20E4"/>
    <w:rsid w:val="005A76E0"/>
    <w:rsid w:val="005B0A8D"/>
    <w:rsid w:val="005D29C7"/>
    <w:rsid w:val="005D79D5"/>
    <w:rsid w:val="005E1CE7"/>
    <w:rsid w:val="005E52B5"/>
    <w:rsid w:val="005E693E"/>
    <w:rsid w:val="005E78F6"/>
    <w:rsid w:val="005E791A"/>
    <w:rsid w:val="005F208D"/>
    <w:rsid w:val="005F436E"/>
    <w:rsid w:val="00602EE0"/>
    <w:rsid w:val="006052E7"/>
    <w:rsid w:val="00613F21"/>
    <w:rsid w:val="00615A5E"/>
    <w:rsid w:val="006219C8"/>
    <w:rsid w:val="006242EE"/>
    <w:rsid w:val="00637470"/>
    <w:rsid w:val="00641653"/>
    <w:rsid w:val="0065544F"/>
    <w:rsid w:val="006617A1"/>
    <w:rsid w:val="006636DB"/>
    <w:rsid w:val="006649A1"/>
    <w:rsid w:val="00675921"/>
    <w:rsid w:val="0068771E"/>
    <w:rsid w:val="0069140D"/>
    <w:rsid w:val="00694B96"/>
    <w:rsid w:val="006A3054"/>
    <w:rsid w:val="006A50C2"/>
    <w:rsid w:val="006A51B7"/>
    <w:rsid w:val="006A5E63"/>
    <w:rsid w:val="006B3591"/>
    <w:rsid w:val="006C7431"/>
    <w:rsid w:val="006D7DF9"/>
    <w:rsid w:val="006F0A2D"/>
    <w:rsid w:val="006F7B00"/>
    <w:rsid w:val="0070307E"/>
    <w:rsid w:val="00705712"/>
    <w:rsid w:val="00723B00"/>
    <w:rsid w:val="007271B6"/>
    <w:rsid w:val="00731D24"/>
    <w:rsid w:val="007412D2"/>
    <w:rsid w:val="00741681"/>
    <w:rsid w:val="00774C1F"/>
    <w:rsid w:val="0077541C"/>
    <w:rsid w:val="00783BCF"/>
    <w:rsid w:val="00784903"/>
    <w:rsid w:val="00787A46"/>
    <w:rsid w:val="0079260D"/>
    <w:rsid w:val="00793DB8"/>
    <w:rsid w:val="0079687F"/>
    <w:rsid w:val="007977C1"/>
    <w:rsid w:val="007A198E"/>
    <w:rsid w:val="007A360C"/>
    <w:rsid w:val="007A5FB7"/>
    <w:rsid w:val="007B08C7"/>
    <w:rsid w:val="007B0A7C"/>
    <w:rsid w:val="007B2C71"/>
    <w:rsid w:val="007B3B7C"/>
    <w:rsid w:val="007B4E73"/>
    <w:rsid w:val="007B5071"/>
    <w:rsid w:val="007B6DF1"/>
    <w:rsid w:val="007C38CB"/>
    <w:rsid w:val="007C4383"/>
    <w:rsid w:val="007C5AC1"/>
    <w:rsid w:val="007C670A"/>
    <w:rsid w:val="007D4D78"/>
    <w:rsid w:val="007E69BF"/>
    <w:rsid w:val="007F13B1"/>
    <w:rsid w:val="00804244"/>
    <w:rsid w:val="00806B1E"/>
    <w:rsid w:val="00811D2F"/>
    <w:rsid w:val="008147BB"/>
    <w:rsid w:val="00817314"/>
    <w:rsid w:val="0082029B"/>
    <w:rsid w:val="00820F06"/>
    <w:rsid w:val="00823604"/>
    <w:rsid w:val="008238BD"/>
    <w:rsid w:val="0082687F"/>
    <w:rsid w:val="00826882"/>
    <w:rsid w:val="00831786"/>
    <w:rsid w:val="00833AEB"/>
    <w:rsid w:val="008358F9"/>
    <w:rsid w:val="008369FD"/>
    <w:rsid w:val="00840972"/>
    <w:rsid w:val="00850702"/>
    <w:rsid w:val="00863882"/>
    <w:rsid w:val="0086731C"/>
    <w:rsid w:val="00870285"/>
    <w:rsid w:val="00874FAD"/>
    <w:rsid w:val="00875E2F"/>
    <w:rsid w:val="00894451"/>
    <w:rsid w:val="008A1CA3"/>
    <w:rsid w:val="008A3BD1"/>
    <w:rsid w:val="008A5052"/>
    <w:rsid w:val="008B0162"/>
    <w:rsid w:val="008B239B"/>
    <w:rsid w:val="008B3223"/>
    <w:rsid w:val="008B359B"/>
    <w:rsid w:val="008B3C84"/>
    <w:rsid w:val="008C3E2F"/>
    <w:rsid w:val="008C5299"/>
    <w:rsid w:val="008D6157"/>
    <w:rsid w:val="008D7674"/>
    <w:rsid w:val="008E7423"/>
    <w:rsid w:val="008E7E4A"/>
    <w:rsid w:val="00901830"/>
    <w:rsid w:val="00904B8F"/>
    <w:rsid w:val="00905315"/>
    <w:rsid w:val="00912A52"/>
    <w:rsid w:val="00914E88"/>
    <w:rsid w:val="009164AE"/>
    <w:rsid w:val="00916C26"/>
    <w:rsid w:val="009264F5"/>
    <w:rsid w:val="00931D1C"/>
    <w:rsid w:val="009329E7"/>
    <w:rsid w:val="00932E8C"/>
    <w:rsid w:val="00934191"/>
    <w:rsid w:val="009350A1"/>
    <w:rsid w:val="009358CE"/>
    <w:rsid w:val="00941EB2"/>
    <w:rsid w:val="0094291B"/>
    <w:rsid w:val="00947136"/>
    <w:rsid w:val="00950460"/>
    <w:rsid w:val="00950F39"/>
    <w:rsid w:val="00954E60"/>
    <w:rsid w:val="0095672B"/>
    <w:rsid w:val="00961CFD"/>
    <w:rsid w:val="00965E48"/>
    <w:rsid w:val="00977922"/>
    <w:rsid w:val="009842BA"/>
    <w:rsid w:val="00993FBB"/>
    <w:rsid w:val="0099514E"/>
    <w:rsid w:val="009A0A5F"/>
    <w:rsid w:val="009A3F6E"/>
    <w:rsid w:val="009A555E"/>
    <w:rsid w:val="009B15CF"/>
    <w:rsid w:val="009B1D8D"/>
    <w:rsid w:val="009B1E45"/>
    <w:rsid w:val="009B785B"/>
    <w:rsid w:val="009B7A59"/>
    <w:rsid w:val="009C2399"/>
    <w:rsid w:val="00A00F79"/>
    <w:rsid w:val="00A03D1B"/>
    <w:rsid w:val="00A046D4"/>
    <w:rsid w:val="00A0732E"/>
    <w:rsid w:val="00A271F0"/>
    <w:rsid w:val="00A30DA3"/>
    <w:rsid w:val="00A31024"/>
    <w:rsid w:val="00A33D26"/>
    <w:rsid w:val="00A40A76"/>
    <w:rsid w:val="00A41A6B"/>
    <w:rsid w:val="00A44471"/>
    <w:rsid w:val="00A47076"/>
    <w:rsid w:val="00A47E26"/>
    <w:rsid w:val="00A50144"/>
    <w:rsid w:val="00A5037A"/>
    <w:rsid w:val="00A57AC3"/>
    <w:rsid w:val="00A75374"/>
    <w:rsid w:val="00A77A3A"/>
    <w:rsid w:val="00A8550A"/>
    <w:rsid w:val="00A86066"/>
    <w:rsid w:val="00A97709"/>
    <w:rsid w:val="00AB00E6"/>
    <w:rsid w:val="00AB1D67"/>
    <w:rsid w:val="00AB7F46"/>
    <w:rsid w:val="00AC05CE"/>
    <w:rsid w:val="00AC7061"/>
    <w:rsid w:val="00AD03F4"/>
    <w:rsid w:val="00AD4ED6"/>
    <w:rsid w:val="00AD7A70"/>
    <w:rsid w:val="00B0057D"/>
    <w:rsid w:val="00B025CD"/>
    <w:rsid w:val="00B12AB0"/>
    <w:rsid w:val="00B209EA"/>
    <w:rsid w:val="00B215B9"/>
    <w:rsid w:val="00B26A7B"/>
    <w:rsid w:val="00B3156D"/>
    <w:rsid w:val="00B333EC"/>
    <w:rsid w:val="00B45248"/>
    <w:rsid w:val="00B50ED1"/>
    <w:rsid w:val="00B56499"/>
    <w:rsid w:val="00B568F7"/>
    <w:rsid w:val="00B60F45"/>
    <w:rsid w:val="00B613BE"/>
    <w:rsid w:val="00B62794"/>
    <w:rsid w:val="00B67348"/>
    <w:rsid w:val="00B74A02"/>
    <w:rsid w:val="00B8386C"/>
    <w:rsid w:val="00B83D82"/>
    <w:rsid w:val="00B84455"/>
    <w:rsid w:val="00B9194D"/>
    <w:rsid w:val="00B92C29"/>
    <w:rsid w:val="00B94CAA"/>
    <w:rsid w:val="00BA18AC"/>
    <w:rsid w:val="00BA1C0B"/>
    <w:rsid w:val="00BB1117"/>
    <w:rsid w:val="00BB4709"/>
    <w:rsid w:val="00BC7F57"/>
    <w:rsid w:val="00BD4A1A"/>
    <w:rsid w:val="00BD7B20"/>
    <w:rsid w:val="00BE1A08"/>
    <w:rsid w:val="00BE28AA"/>
    <w:rsid w:val="00BE4329"/>
    <w:rsid w:val="00BE44A6"/>
    <w:rsid w:val="00BE5855"/>
    <w:rsid w:val="00BE65EE"/>
    <w:rsid w:val="00BF19E5"/>
    <w:rsid w:val="00BF5087"/>
    <w:rsid w:val="00BF73C3"/>
    <w:rsid w:val="00C00C4F"/>
    <w:rsid w:val="00C00DB2"/>
    <w:rsid w:val="00C17EF3"/>
    <w:rsid w:val="00C2202E"/>
    <w:rsid w:val="00C25F8A"/>
    <w:rsid w:val="00C35EDC"/>
    <w:rsid w:val="00C4167C"/>
    <w:rsid w:val="00C47F14"/>
    <w:rsid w:val="00C47FD2"/>
    <w:rsid w:val="00C51C04"/>
    <w:rsid w:val="00C57FB8"/>
    <w:rsid w:val="00C64F89"/>
    <w:rsid w:val="00C678BE"/>
    <w:rsid w:val="00C70816"/>
    <w:rsid w:val="00C80585"/>
    <w:rsid w:val="00C9087A"/>
    <w:rsid w:val="00C925C2"/>
    <w:rsid w:val="00CA24BD"/>
    <w:rsid w:val="00CB06E2"/>
    <w:rsid w:val="00CB3971"/>
    <w:rsid w:val="00CB3C41"/>
    <w:rsid w:val="00CB60F7"/>
    <w:rsid w:val="00CB6200"/>
    <w:rsid w:val="00CC07B2"/>
    <w:rsid w:val="00CC429D"/>
    <w:rsid w:val="00CC69D5"/>
    <w:rsid w:val="00CD4537"/>
    <w:rsid w:val="00CD6E15"/>
    <w:rsid w:val="00CE5837"/>
    <w:rsid w:val="00CE70CE"/>
    <w:rsid w:val="00CF2FAA"/>
    <w:rsid w:val="00D02020"/>
    <w:rsid w:val="00D02740"/>
    <w:rsid w:val="00D0293E"/>
    <w:rsid w:val="00D05A90"/>
    <w:rsid w:val="00D070DF"/>
    <w:rsid w:val="00D077A1"/>
    <w:rsid w:val="00D24160"/>
    <w:rsid w:val="00D35A14"/>
    <w:rsid w:val="00D42A90"/>
    <w:rsid w:val="00D62BD7"/>
    <w:rsid w:val="00D640BE"/>
    <w:rsid w:val="00D67D90"/>
    <w:rsid w:val="00D7045B"/>
    <w:rsid w:val="00D77BCA"/>
    <w:rsid w:val="00D92A5E"/>
    <w:rsid w:val="00D94811"/>
    <w:rsid w:val="00D9550B"/>
    <w:rsid w:val="00D960D4"/>
    <w:rsid w:val="00DA046F"/>
    <w:rsid w:val="00DA192E"/>
    <w:rsid w:val="00DB230D"/>
    <w:rsid w:val="00DC51B8"/>
    <w:rsid w:val="00DD1828"/>
    <w:rsid w:val="00DD4971"/>
    <w:rsid w:val="00DD4AFA"/>
    <w:rsid w:val="00DE32EA"/>
    <w:rsid w:val="00DE3BEB"/>
    <w:rsid w:val="00DE44D3"/>
    <w:rsid w:val="00DE520E"/>
    <w:rsid w:val="00DF1E2B"/>
    <w:rsid w:val="00DF3EE3"/>
    <w:rsid w:val="00E0128F"/>
    <w:rsid w:val="00E024A0"/>
    <w:rsid w:val="00E03AE3"/>
    <w:rsid w:val="00E1073B"/>
    <w:rsid w:val="00E2228B"/>
    <w:rsid w:val="00E22328"/>
    <w:rsid w:val="00E31118"/>
    <w:rsid w:val="00E32AC5"/>
    <w:rsid w:val="00E33E4C"/>
    <w:rsid w:val="00E3565C"/>
    <w:rsid w:val="00E356CD"/>
    <w:rsid w:val="00E40F60"/>
    <w:rsid w:val="00E4276D"/>
    <w:rsid w:val="00E548B8"/>
    <w:rsid w:val="00E6032D"/>
    <w:rsid w:val="00E62968"/>
    <w:rsid w:val="00E72DD3"/>
    <w:rsid w:val="00E77961"/>
    <w:rsid w:val="00EA1F8B"/>
    <w:rsid w:val="00EA3CE8"/>
    <w:rsid w:val="00EB319C"/>
    <w:rsid w:val="00EB7208"/>
    <w:rsid w:val="00EB7E7E"/>
    <w:rsid w:val="00EC4C79"/>
    <w:rsid w:val="00EC6937"/>
    <w:rsid w:val="00EC7F40"/>
    <w:rsid w:val="00ED7200"/>
    <w:rsid w:val="00ED7E23"/>
    <w:rsid w:val="00EE0792"/>
    <w:rsid w:val="00EF1387"/>
    <w:rsid w:val="00F0239D"/>
    <w:rsid w:val="00F03261"/>
    <w:rsid w:val="00F16B66"/>
    <w:rsid w:val="00F25659"/>
    <w:rsid w:val="00F25685"/>
    <w:rsid w:val="00F27281"/>
    <w:rsid w:val="00F3024E"/>
    <w:rsid w:val="00F366F2"/>
    <w:rsid w:val="00F36E4D"/>
    <w:rsid w:val="00F36EBF"/>
    <w:rsid w:val="00F428C0"/>
    <w:rsid w:val="00F46124"/>
    <w:rsid w:val="00F50B01"/>
    <w:rsid w:val="00F56623"/>
    <w:rsid w:val="00F624D3"/>
    <w:rsid w:val="00F67C71"/>
    <w:rsid w:val="00F70129"/>
    <w:rsid w:val="00F70948"/>
    <w:rsid w:val="00F71B0F"/>
    <w:rsid w:val="00F756F1"/>
    <w:rsid w:val="00F8743F"/>
    <w:rsid w:val="00F93CF3"/>
    <w:rsid w:val="00F9567B"/>
    <w:rsid w:val="00F95DC9"/>
    <w:rsid w:val="00FA08F0"/>
    <w:rsid w:val="00FA315F"/>
    <w:rsid w:val="00FA4C6F"/>
    <w:rsid w:val="00FB0E4E"/>
    <w:rsid w:val="00FC5820"/>
    <w:rsid w:val="00FD4F80"/>
    <w:rsid w:val="00FE63D4"/>
    <w:rsid w:val="00FF0E8C"/>
    <w:rsid w:val="00FF1856"/>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2D80"/>
  <w15:docId w15:val="{980A6B37-7AF5-40DC-968E-765BEFEF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8B3C84"/>
    <w:rPr>
      <w:color w:val="0563C1" w:themeColor="hyperlink"/>
      <w:u w:val="single"/>
    </w:rPr>
  </w:style>
  <w:style w:type="paragraph" w:styleId="ListParagraph">
    <w:name w:val="List Paragraph"/>
    <w:basedOn w:val="Normal"/>
    <w:uiPriority w:val="34"/>
    <w:qFormat/>
    <w:rsid w:val="004717CD"/>
    <w:pPr>
      <w:ind w:left="720"/>
      <w:contextualSpacing/>
    </w:pPr>
  </w:style>
  <w:style w:type="paragraph" w:styleId="BalloonText">
    <w:name w:val="Balloon Text"/>
    <w:basedOn w:val="Normal"/>
    <w:link w:val="BalloonTextChar"/>
    <w:uiPriority w:val="99"/>
    <w:semiHidden/>
    <w:unhideWhenUsed/>
    <w:rsid w:val="00FE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875">
      <w:bodyDiv w:val="1"/>
      <w:marLeft w:val="0"/>
      <w:marRight w:val="0"/>
      <w:marTop w:val="0"/>
      <w:marBottom w:val="0"/>
      <w:divBdr>
        <w:top w:val="none" w:sz="0" w:space="0" w:color="auto"/>
        <w:left w:val="none" w:sz="0" w:space="0" w:color="auto"/>
        <w:bottom w:val="none" w:sz="0" w:space="0" w:color="auto"/>
        <w:right w:val="none" w:sz="0" w:space="0" w:color="auto"/>
      </w:divBdr>
    </w:div>
    <w:div w:id="71586630">
      <w:bodyDiv w:val="1"/>
      <w:marLeft w:val="0"/>
      <w:marRight w:val="0"/>
      <w:marTop w:val="0"/>
      <w:marBottom w:val="0"/>
      <w:divBdr>
        <w:top w:val="none" w:sz="0" w:space="0" w:color="auto"/>
        <w:left w:val="none" w:sz="0" w:space="0" w:color="auto"/>
        <w:bottom w:val="none" w:sz="0" w:space="0" w:color="auto"/>
        <w:right w:val="none" w:sz="0" w:space="0" w:color="auto"/>
      </w:divBdr>
    </w:div>
    <w:div w:id="114445143">
      <w:bodyDiv w:val="1"/>
      <w:marLeft w:val="0"/>
      <w:marRight w:val="0"/>
      <w:marTop w:val="0"/>
      <w:marBottom w:val="0"/>
      <w:divBdr>
        <w:top w:val="none" w:sz="0" w:space="0" w:color="auto"/>
        <w:left w:val="none" w:sz="0" w:space="0" w:color="auto"/>
        <w:bottom w:val="none" w:sz="0" w:space="0" w:color="auto"/>
        <w:right w:val="none" w:sz="0" w:space="0" w:color="auto"/>
      </w:divBdr>
    </w:div>
    <w:div w:id="120270365">
      <w:bodyDiv w:val="1"/>
      <w:marLeft w:val="0"/>
      <w:marRight w:val="0"/>
      <w:marTop w:val="0"/>
      <w:marBottom w:val="0"/>
      <w:divBdr>
        <w:top w:val="none" w:sz="0" w:space="0" w:color="auto"/>
        <w:left w:val="none" w:sz="0" w:space="0" w:color="auto"/>
        <w:bottom w:val="none" w:sz="0" w:space="0" w:color="auto"/>
        <w:right w:val="none" w:sz="0" w:space="0" w:color="auto"/>
      </w:divBdr>
    </w:div>
    <w:div w:id="123545465">
      <w:bodyDiv w:val="1"/>
      <w:marLeft w:val="0"/>
      <w:marRight w:val="0"/>
      <w:marTop w:val="0"/>
      <w:marBottom w:val="0"/>
      <w:divBdr>
        <w:top w:val="none" w:sz="0" w:space="0" w:color="auto"/>
        <w:left w:val="none" w:sz="0" w:space="0" w:color="auto"/>
        <w:bottom w:val="none" w:sz="0" w:space="0" w:color="auto"/>
        <w:right w:val="none" w:sz="0" w:space="0" w:color="auto"/>
      </w:divBdr>
    </w:div>
    <w:div w:id="132716798">
      <w:bodyDiv w:val="1"/>
      <w:marLeft w:val="0"/>
      <w:marRight w:val="0"/>
      <w:marTop w:val="0"/>
      <w:marBottom w:val="0"/>
      <w:divBdr>
        <w:top w:val="none" w:sz="0" w:space="0" w:color="auto"/>
        <w:left w:val="none" w:sz="0" w:space="0" w:color="auto"/>
        <w:bottom w:val="none" w:sz="0" w:space="0" w:color="auto"/>
        <w:right w:val="none" w:sz="0" w:space="0" w:color="auto"/>
      </w:divBdr>
    </w:div>
    <w:div w:id="141239652">
      <w:bodyDiv w:val="1"/>
      <w:marLeft w:val="0"/>
      <w:marRight w:val="0"/>
      <w:marTop w:val="0"/>
      <w:marBottom w:val="0"/>
      <w:divBdr>
        <w:top w:val="none" w:sz="0" w:space="0" w:color="auto"/>
        <w:left w:val="none" w:sz="0" w:space="0" w:color="auto"/>
        <w:bottom w:val="none" w:sz="0" w:space="0" w:color="auto"/>
        <w:right w:val="none" w:sz="0" w:space="0" w:color="auto"/>
      </w:divBdr>
    </w:div>
    <w:div w:id="164176381">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210004227">
      <w:bodyDiv w:val="1"/>
      <w:marLeft w:val="0"/>
      <w:marRight w:val="0"/>
      <w:marTop w:val="0"/>
      <w:marBottom w:val="0"/>
      <w:divBdr>
        <w:top w:val="none" w:sz="0" w:space="0" w:color="auto"/>
        <w:left w:val="none" w:sz="0" w:space="0" w:color="auto"/>
        <w:bottom w:val="none" w:sz="0" w:space="0" w:color="auto"/>
        <w:right w:val="none" w:sz="0" w:space="0" w:color="auto"/>
      </w:divBdr>
    </w:div>
    <w:div w:id="265313409">
      <w:bodyDiv w:val="1"/>
      <w:marLeft w:val="0"/>
      <w:marRight w:val="0"/>
      <w:marTop w:val="0"/>
      <w:marBottom w:val="0"/>
      <w:divBdr>
        <w:top w:val="none" w:sz="0" w:space="0" w:color="auto"/>
        <w:left w:val="none" w:sz="0" w:space="0" w:color="auto"/>
        <w:bottom w:val="none" w:sz="0" w:space="0" w:color="auto"/>
        <w:right w:val="none" w:sz="0" w:space="0" w:color="auto"/>
      </w:divBdr>
    </w:div>
    <w:div w:id="286401099">
      <w:bodyDiv w:val="1"/>
      <w:marLeft w:val="0"/>
      <w:marRight w:val="0"/>
      <w:marTop w:val="0"/>
      <w:marBottom w:val="0"/>
      <w:divBdr>
        <w:top w:val="none" w:sz="0" w:space="0" w:color="auto"/>
        <w:left w:val="none" w:sz="0" w:space="0" w:color="auto"/>
        <w:bottom w:val="none" w:sz="0" w:space="0" w:color="auto"/>
        <w:right w:val="none" w:sz="0" w:space="0" w:color="auto"/>
      </w:divBdr>
    </w:div>
    <w:div w:id="289869189">
      <w:bodyDiv w:val="1"/>
      <w:marLeft w:val="0"/>
      <w:marRight w:val="0"/>
      <w:marTop w:val="0"/>
      <w:marBottom w:val="0"/>
      <w:divBdr>
        <w:top w:val="none" w:sz="0" w:space="0" w:color="auto"/>
        <w:left w:val="none" w:sz="0" w:space="0" w:color="auto"/>
        <w:bottom w:val="none" w:sz="0" w:space="0" w:color="auto"/>
        <w:right w:val="none" w:sz="0" w:space="0" w:color="auto"/>
      </w:divBdr>
    </w:div>
    <w:div w:id="387264220">
      <w:bodyDiv w:val="1"/>
      <w:marLeft w:val="0"/>
      <w:marRight w:val="0"/>
      <w:marTop w:val="0"/>
      <w:marBottom w:val="0"/>
      <w:divBdr>
        <w:top w:val="none" w:sz="0" w:space="0" w:color="auto"/>
        <w:left w:val="none" w:sz="0" w:space="0" w:color="auto"/>
        <w:bottom w:val="none" w:sz="0" w:space="0" w:color="auto"/>
        <w:right w:val="none" w:sz="0" w:space="0" w:color="auto"/>
      </w:divBdr>
    </w:div>
    <w:div w:id="399794208">
      <w:bodyDiv w:val="1"/>
      <w:marLeft w:val="0"/>
      <w:marRight w:val="0"/>
      <w:marTop w:val="0"/>
      <w:marBottom w:val="0"/>
      <w:divBdr>
        <w:top w:val="none" w:sz="0" w:space="0" w:color="auto"/>
        <w:left w:val="none" w:sz="0" w:space="0" w:color="auto"/>
        <w:bottom w:val="none" w:sz="0" w:space="0" w:color="auto"/>
        <w:right w:val="none" w:sz="0" w:space="0" w:color="auto"/>
      </w:divBdr>
    </w:div>
    <w:div w:id="482356809">
      <w:bodyDiv w:val="1"/>
      <w:marLeft w:val="0"/>
      <w:marRight w:val="0"/>
      <w:marTop w:val="0"/>
      <w:marBottom w:val="0"/>
      <w:divBdr>
        <w:top w:val="none" w:sz="0" w:space="0" w:color="auto"/>
        <w:left w:val="none" w:sz="0" w:space="0" w:color="auto"/>
        <w:bottom w:val="none" w:sz="0" w:space="0" w:color="auto"/>
        <w:right w:val="none" w:sz="0" w:space="0" w:color="auto"/>
      </w:divBdr>
    </w:div>
    <w:div w:id="482888119">
      <w:bodyDiv w:val="1"/>
      <w:marLeft w:val="0"/>
      <w:marRight w:val="0"/>
      <w:marTop w:val="0"/>
      <w:marBottom w:val="0"/>
      <w:divBdr>
        <w:top w:val="none" w:sz="0" w:space="0" w:color="auto"/>
        <w:left w:val="none" w:sz="0" w:space="0" w:color="auto"/>
        <w:bottom w:val="none" w:sz="0" w:space="0" w:color="auto"/>
        <w:right w:val="none" w:sz="0" w:space="0" w:color="auto"/>
      </w:divBdr>
    </w:div>
    <w:div w:id="513418656">
      <w:bodyDiv w:val="1"/>
      <w:marLeft w:val="0"/>
      <w:marRight w:val="0"/>
      <w:marTop w:val="0"/>
      <w:marBottom w:val="0"/>
      <w:divBdr>
        <w:top w:val="none" w:sz="0" w:space="0" w:color="auto"/>
        <w:left w:val="none" w:sz="0" w:space="0" w:color="auto"/>
        <w:bottom w:val="none" w:sz="0" w:space="0" w:color="auto"/>
        <w:right w:val="none" w:sz="0" w:space="0" w:color="auto"/>
      </w:divBdr>
    </w:div>
    <w:div w:id="575475958">
      <w:bodyDiv w:val="1"/>
      <w:marLeft w:val="0"/>
      <w:marRight w:val="0"/>
      <w:marTop w:val="0"/>
      <w:marBottom w:val="0"/>
      <w:divBdr>
        <w:top w:val="none" w:sz="0" w:space="0" w:color="auto"/>
        <w:left w:val="none" w:sz="0" w:space="0" w:color="auto"/>
        <w:bottom w:val="none" w:sz="0" w:space="0" w:color="auto"/>
        <w:right w:val="none" w:sz="0" w:space="0" w:color="auto"/>
      </w:divBdr>
    </w:div>
    <w:div w:id="673723130">
      <w:bodyDiv w:val="1"/>
      <w:marLeft w:val="0"/>
      <w:marRight w:val="0"/>
      <w:marTop w:val="0"/>
      <w:marBottom w:val="0"/>
      <w:divBdr>
        <w:top w:val="none" w:sz="0" w:space="0" w:color="auto"/>
        <w:left w:val="none" w:sz="0" w:space="0" w:color="auto"/>
        <w:bottom w:val="none" w:sz="0" w:space="0" w:color="auto"/>
        <w:right w:val="none" w:sz="0" w:space="0" w:color="auto"/>
      </w:divBdr>
    </w:div>
    <w:div w:id="692806035">
      <w:bodyDiv w:val="1"/>
      <w:marLeft w:val="0"/>
      <w:marRight w:val="0"/>
      <w:marTop w:val="0"/>
      <w:marBottom w:val="0"/>
      <w:divBdr>
        <w:top w:val="none" w:sz="0" w:space="0" w:color="auto"/>
        <w:left w:val="none" w:sz="0" w:space="0" w:color="auto"/>
        <w:bottom w:val="none" w:sz="0" w:space="0" w:color="auto"/>
        <w:right w:val="none" w:sz="0" w:space="0" w:color="auto"/>
      </w:divBdr>
    </w:div>
    <w:div w:id="694042647">
      <w:bodyDiv w:val="1"/>
      <w:marLeft w:val="0"/>
      <w:marRight w:val="0"/>
      <w:marTop w:val="0"/>
      <w:marBottom w:val="0"/>
      <w:divBdr>
        <w:top w:val="none" w:sz="0" w:space="0" w:color="auto"/>
        <w:left w:val="none" w:sz="0" w:space="0" w:color="auto"/>
        <w:bottom w:val="none" w:sz="0" w:space="0" w:color="auto"/>
        <w:right w:val="none" w:sz="0" w:space="0" w:color="auto"/>
      </w:divBdr>
    </w:div>
    <w:div w:id="730882328">
      <w:bodyDiv w:val="1"/>
      <w:marLeft w:val="0"/>
      <w:marRight w:val="0"/>
      <w:marTop w:val="0"/>
      <w:marBottom w:val="0"/>
      <w:divBdr>
        <w:top w:val="none" w:sz="0" w:space="0" w:color="auto"/>
        <w:left w:val="none" w:sz="0" w:space="0" w:color="auto"/>
        <w:bottom w:val="none" w:sz="0" w:space="0" w:color="auto"/>
        <w:right w:val="none" w:sz="0" w:space="0" w:color="auto"/>
      </w:divBdr>
    </w:div>
    <w:div w:id="747701381">
      <w:bodyDiv w:val="1"/>
      <w:marLeft w:val="0"/>
      <w:marRight w:val="0"/>
      <w:marTop w:val="0"/>
      <w:marBottom w:val="0"/>
      <w:divBdr>
        <w:top w:val="none" w:sz="0" w:space="0" w:color="auto"/>
        <w:left w:val="none" w:sz="0" w:space="0" w:color="auto"/>
        <w:bottom w:val="none" w:sz="0" w:space="0" w:color="auto"/>
        <w:right w:val="none" w:sz="0" w:space="0" w:color="auto"/>
      </w:divBdr>
    </w:div>
    <w:div w:id="756942536">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816262998">
      <w:bodyDiv w:val="1"/>
      <w:marLeft w:val="0"/>
      <w:marRight w:val="0"/>
      <w:marTop w:val="0"/>
      <w:marBottom w:val="0"/>
      <w:divBdr>
        <w:top w:val="none" w:sz="0" w:space="0" w:color="auto"/>
        <w:left w:val="none" w:sz="0" w:space="0" w:color="auto"/>
        <w:bottom w:val="none" w:sz="0" w:space="0" w:color="auto"/>
        <w:right w:val="none" w:sz="0" w:space="0" w:color="auto"/>
      </w:divBdr>
    </w:div>
    <w:div w:id="828012834">
      <w:bodyDiv w:val="1"/>
      <w:marLeft w:val="0"/>
      <w:marRight w:val="0"/>
      <w:marTop w:val="0"/>
      <w:marBottom w:val="0"/>
      <w:divBdr>
        <w:top w:val="none" w:sz="0" w:space="0" w:color="auto"/>
        <w:left w:val="none" w:sz="0" w:space="0" w:color="auto"/>
        <w:bottom w:val="none" w:sz="0" w:space="0" w:color="auto"/>
        <w:right w:val="none" w:sz="0" w:space="0" w:color="auto"/>
      </w:divBdr>
    </w:div>
    <w:div w:id="829834669">
      <w:bodyDiv w:val="1"/>
      <w:marLeft w:val="0"/>
      <w:marRight w:val="0"/>
      <w:marTop w:val="0"/>
      <w:marBottom w:val="0"/>
      <w:divBdr>
        <w:top w:val="none" w:sz="0" w:space="0" w:color="auto"/>
        <w:left w:val="none" w:sz="0" w:space="0" w:color="auto"/>
        <w:bottom w:val="none" w:sz="0" w:space="0" w:color="auto"/>
        <w:right w:val="none" w:sz="0" w:space="0" w:color="auto"/>
      </w:divBdr>
    </w:div>
    <w:div w:id="834492311">
      <w:bodyDiv w:val="1"/>
      <w:marLeft w:val="0"/>
      <w:marRight w:val="0"/>
      <w:marTop w:val="0"/>
      <w:marBottom w:val="0"/>
      <w:divBdr>
        <w:top w:val="none" w:sz="0" w:space="0" w:color="auto"/>
        <w:left w:val="none" w:sz="0" w:space="0" w:color="auto"/>
        <w:bottom w:val="none" w:sz="0" w:space="0" w:color="auto"/>
        <w:right w:val="none" w:sz="0" w:space="0" w:color="auto"/>
      </w:divBdr>
    </w:div>
    <w:div w:id="861362784">
      <w:bodyDiv w:val="1"/>
      <w:marLeft w:val="0"/>
      <w:marRight w:val="0"/>
      <w:marTop w:val="0"/>
      <w:marBottom w:val="0"/>
      <w:divBdr>
        <w:top w:val="none" w:sz="0" w:space="0" w:color="auto"/>
        <w:left w:val="none" w:sz="0" w:space="0" w:color="auto"/>
        <w:bottom w:val="none" w:sz="0" w:space="0" w:color="auto"/>
        <w:right w:val="none" w:sz="0" w:space="0" w:color="auto"/>
      </w:divBdr>
    </w:div>
    <w:div w:id="873080409">
      <w:bodyDiv w:val="1"/>
      <w:marLeft w:val="0"/>
      <w:marRight w:val="0"/>
      <w:marTop w:val="0"/>
      <w:marBottom w:val="0"/>
      <w:divBdr>
        <w:top w:val="none" w:sz="0" w:space="0" w:color="auto"/>
        <w:left w:val="none" w:sz="0" w:space="0" w:color="auto"/>
        <w:bottom w:val="none" w:sz="0" w:space="0" w:color="auto"/>
        <w:right w:val="none" w:sz="0" w:space="0" w:color="auto"/>
      </w:divBdr>
    </w:div>
    <w:div w:id="910239769">
      <w:bodyDiv w:val="1"/>
      <w:marLeft w:val="0"/>
      <w:marRight w:val="0"/>
      <w:marTop w:val="0"/>
      <w:marBottom w:val="0"/>
      <w:divBdr>
        <w:top w:val="none" w:sz="0" w:space="0" w:color="auto"/>
        <w:left w:val="none" w:sz="0" w:space="0" w:color="auto"/>
        <w:bottom w:val="none" w:sz="0" w:space="0" w:color="auto"/>
        <w:right w:val="none" w:sz="0" w:space="0" w:color="auto"/>
      </w:divBdr>
    </w:div>
    <w:div w:id="91501411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1009678547">
      <w:bodyDiv w:val="1"/>
      <w:marLeft w:val="0"/>
      <w:marRight w:val="0"/>
      <w:marTop w:val="0"/>
      <w:marBottom w:val="0"/>
      <w:divBdr>
        <w:top w:val="none" w:sz="0" w:space="0" w:color="auto"/>
        <w:left w:val="none" w:sz="0" w:space="0" w:color="auto"/>
        <w:bottom w:val="none" w:sz="0" w:space="0" w:color="auto"/>
        <w:right w:val="none" w:sz="0" w:space="0" w:color="auto"/>
      </w:divBdr>
    </w:div>
    <w:div w:id="1253512608">
      <w:bodyDiv w:val="1"/>
      <w:marLeft w:val="0"/>
      <w:marRight w:val="0"/>
      <w:marTop w:val="0"/>
      <w:marBottom w:val="0"/>
      <w:divBdr>
        <w:top w:val="none" w:sz="0" w:space="0" w:color="auto"/>
        <w:left w:val="none" w:sz="0" w:space="0" w:color="auto"/>
        <w:bottom w:val="none" w:sz="0" w:space="0" w:color="auto"/>
        <w:right w:val="none" w:sz="0" w:space="0" w:color="auto"/>
      </w:divBdr>
    </w:div>
    <w:div w:id="1302270658">
      <w:bodyDiv w:val="1"/>
      <w:marLeft w:val="0"/>
      <w:marRight w:val="0"/>
      <w:marTop w:val="0"/>
      <w:marBottom w:val="0"/>
      <w:divBdr>
        <w:top w:val="none" w:sz="0" w:space="0" w:color="auto"/>
        <w:left w:val="none" w:sz="0" w:space="0" w:color="auto"/>
        <w:bottom w:val="none" w:sz="0" w:space="0" w:color="auto"/>
        <w:right w:val="none" w:sz="0" w:space="0" w:color="auto"/>
      </w:divBdr>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352799339">
      <w:bodyDiv w:val="1"/>
      <w:marLeft w:val="0"/>
      <w:marRight w:val="0"/>
      <w:marTop w:val="0"/>
      <w:marBottom w:val="0"/>
      <w:divBdr>
        <w:top w:val="none" w:sz="0" w:space="0" w:color="auto"/>
        <w:left w:val="none" w:sz="0" w:space="0" w:color="auto"/>
        <w:bottom w:val="none" w:sz="0" w:space="0" w:color="auto"/>
        <w:right w:val="none" w:sz="0" w:space="0" w:color="auto"/>
      </w:divBdr>
    </w:div>
    <w:div w:id="1367488038">
      <w:bodyDiv w:val="1"/>
      <w:marLeft w:val="0"/>
      <w:marRight w:val="0"/>
      <w:marTop w:val="0"/>
      <w:marBottom w:val="0"/>
      <w:divBdr>
        <w:top w:val="none" w:sz="0" w:space="0" w:color="auto"/>
        <w:left w:val="none" w:sz="0" w:space="0" w:color="auto"/>
        <w:bottom w:val="none" w:sz="0" w:space="0" w:color="auto"/>
        <w:right w:val="none" w:sz="0" w:space="0" w:color="auto"/>
      </w:divBdr>
    </w:div>
    <w:div w:id="1490367627">
      <w:bodyDiv w:val="1"/>
      <w:marLeft w:val="0"/>
      <w:marRight w:val="0"/>
      <w:marTop w:val="0"/>
      <w:marBottom w:val="0"/>
      <w:divBdr>
        <w:top w:val="none" w:sz="0" w:space="0" w:color="auto"/>
        <w:left w:val="none" w:sz="0" w:space="0" w:color="auto"/>
        <w:bottom w:val="none" w:sz="0" w:space="0" w:color="auto"/>
        <w:right w:val="none" w:sz="0" w:space="0" w:color="auto"/>
      </w:divBdr>
    </w:div>
    <w:div w:id="1530143983">
      <w:bodyDiv w:val="1"/>
      <w:marLeft w:val="0"/>
      <w:marRight w:val="0"/>
      <w:marTop w:val="0"/>
      <w:marBottom w:val="0"/>
      <w:divBdr>
        <w:top w:val="none" w:sz="0" w:space="0" w:color="auto"/>
        <w:left w:val="none" w:sz="0" w:space="0" w:color="auto"/>
        <w:bottom w:val="none" w:sz="0" w:space="0" w:color="auto"/>
        <w:right w:val="none" w:sz="0" w:space="0" w:color="auto"/>
      </w:divBdr>
    </w:div>
    <w:div w:id="1562448841">
      <w:bodyDiv w:val="1"/>
      <w:marLeft w:val="0"/>
      <w:marRight w:val="0"/>
      <w:marTop w:val="0"/>
      <w:marBottom w:val="0"/>
      <w:divBdr>
        <w:top w:val="none" w:sz="0" w:space="0" w:color="auto"/>
        <w:left w:val="none" w:sz="0" w:space="0" w:color="auto"/>
        <w:bottom w:val="none" w:sz="0" w:space="0" w:color="auto"/>
        <w:right w:val="none" w:sz="0" w:space="0" w:color="auto"/>
      </w:divBdr>
    </w:div>
    <w:div w:id="1567838923">
      <w:bodyDiv w:val="1"/>
      <w:marLeft w:val="0"/>
      <w:marRight w:val="0"/>
      <w:marTop w:val="0"/>
      <w:marBottom w:val="0"/>
      <w:divBdr>
        <w:top w:val="none" w:sz="0" w:space="0" w:color="auto"/>
        <w:left w:val="none" w:sz="0" w:space="0" w:color="auto"/>
        <w:bottom w:val="none" w:sz="0" w:space="0" w:color="auto"/>
        <w:right w:val="none" w:sz="0" w:space="0" w:color="auto"/>
      </w:divBdr>
    </w:div>
    <w:div w:id="1632634722">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8629695">
      <w:bodyDiv w:val="1"/>
      <w:marLeft w:val="0"/>
      <w:marRight w:val="0"/>
      <w:marTop w:val="0"/>
      <w:marBottom w:val="0"/>
      <w:divBdr>
        <w:top w:val="none" w:sz="0" w:space="0" w:color="auto"/>
        <w:left w:val="none" w:sz="0" w:space="0" w:color="auto"/>
        <w:bottom w:val="none" w:sz="0" w:space="0" w:color="auto"/>
        <w:right w:val="none" w:sz="0" w:space="0" w:color="auto"/>
      </w:divBdr>
    </w:div>
    <w:div w:id="1710455235">
      <w:bodyDiv w:val="1"/>
      <w:marLeft w:val="0"/>
      <w:marRight w:val="0"/>
      <w:marTop w:val="0"/>
      <w:marBottom w:val="0"/>
      <w:divBdr>
        <w:top w:val="none" w:sz="0" w:space="0" w:color="auto"/>
        <w:left w:val="none" w:sz="0" w:space="0" w:color="auto"/>
        <w:bottom w:val="none" w:sz="0" w:space="0" w:color="auto"/>
        <w:right w:val="none" w:sz="0" w:space="0" w:color="auto"/>
      </w:divBdr>
    </w:div>
    <w:div w:id="1773283541">
      <w:bodyDiv w:val="1"/>
      <w:marLeft w:val="0"/>
      <w:marRight w:val="0"/>
      <w:marTop w:val="0"/>
      <w:marBottom w:val="0"/>
      <w:divBdr>
        <w:top w:val="none" w:sz="0" w:space="0" w:color="auto"/>
        <w:left w:val="none" w:sz="0" w:space="0" w:color="auto"/>
        <w:bottom w:val="none" w:sz="0" w:space="0" w:color="auto"/>
        <w:right w:val="none" w:sz="0" w:space="0" w:color="auto"/>
      </w:divBdr>
    </w:div>
    <w:div w:id="1784618782">
      <w:bodyDiv w:val="1"/>
      <w:marLeft w:val="0"/>
      <w:marRight w:val="0"/>
      <w:marTop w:val="0"/>
      <w:marBottom w:val="0"/>
      <w:divBdr>
        <w:top w:val="none" w:sz="0" w:space="0" w:color="auto"/>
        <w:left w:val="none" w:sz="0" w:space="0" w:color="auto"/>
        <w:bottom w:val="none" w:sz="0" w:space="0" w:color="auto"/>
        <w:right w:val="none" w:sz="0" w:space="0" w:color="auto"/>
      </w:divBdr>
    </w:div>
    <w:div w:id="1843665740">
      <w:bodyDiv w:val="1"/>
      <w:marLeft w:val="0"/>
      <w:marRight w:val="0"/>
      <w:marTop w:val="0"/>
      <w:marBottom w:val="0"/>
      <w:divBdr>
        <w:top w:val="none" w:sz="0" w:space="0" w:color="auto"/>
        <w:left w:val="none" w:sz="0" w:space="0" w:color="auto"/>
        <w:bottom w:val="none" w:sz="0" w:space="0" w:color="auto"/>
        <w:right w:val="none" w:sz="0" w:space="0" w:color="auto"/>
      </w:divBdr>
    </w:div>
    <w:div w:id="1863517473">
      <w:bodyDiv w:val="1"/>
      <w:marLeft w:val="0"/>
      <w:marRight w:val="0"/>
      <w:marTop w:val="0"/>
      <w:marBottom w:val="0"/>
      <w:divBdr>
        <w:top w:val="none" w:sz="0" w:space="0" w:color="auto"/>
        <w:left w:val="none" w:sz="0" w:space="0" w:color="auto"/>
        <w:bottom w:val="none" w:sz="0" w:space="0" w:color="auto"/>
        <w:right w:val="none" w:sz="0" w:space="0" w:color="auto"/>
      </w:divBdr>
    </w:div>
    <w:div w:id="1866481064">
      <w:bodyDiv w:val="1"/>
      <w:marLeft w:val="0"/>
      <w:marRight w:val="0"/>
      <w:marTop w:val="0"/>
      <w:marBottom w:val="0"/>
      <w:divBdr>
        <w:top w:val="none" w:sz="0" w:space="0" w:color="auto"/>
        <w:left w:val="none" w:sz="0" w:space="0" w:color="auto"/>
        <w:bottom w:val="none" w:sz="0" w:space="0" w:color="auto"/>
        <w:right w:val="none" w:sz="0" w:space="0" w:color="auto"/>
      </w:divBdr>
    </w:div>
    <w:div w:id="1892768625">
      <w:bodyDiv w:val="1"/>
      <w:marLeft w:val="0"/>
      <w:marRight w:val="0"/>
      <w:marTop w:val="0"/>
      <w:marBottom w:val="0"/>
      <w:divBdr>
        <w:top w:val="none" w:sz="0" w:space="0" w:color="auto"/>
        <w:left w:val="none" w:sz="0" w:space="0" w:color="auto"/>
        <w:bottom w:val="none" w:sz="0" w:space="0" w:color="auto"/>
        <w:right w:val="none" w:sz="0" w:space="0" w:color="auto"/>
      </w:divBdr>
    </w:div>
    <w:div w:id="1913544185">
      <w:bodyDiv w:val="1"/>
      <w:marLeft w:val="0"/>
      <w:marRight w:val="0"/>
      <w:marTop w:val="0"/>
      <w:marBottom w:val="0"/>
      <w:divBdr>
        <w:top w:val="none" w:sz="0" w:space="0" w:color="auto"/>
        <w:left w:val="none" w:sz="0" w:space="0" w:color="auto"/>
        <w:bottom w:val="none" w:sz="0" w:space="0" w:color="auto"/>
        <w:right w:val="none" w:sz="0" w:space="0" w:color="auto"/>
      </w:divBdr>
    </w:div>
    <w:div w:id="1940521424">
      <w:bodyDiv w:val="1"/>
      <w:marLeft w:val="0"/>
      <w:marRight w:val="0"/>
      <w:marTop w:val="0"/>
      <w:marBottom w:val="0"/>
      <w:divBdr>
        <w:top w:val="none" w:sz="0" w:space="0" w:color="auto"/>
        <w:left w:val="none" w:sz="0" w:space="0" w:color="auto"/>
        <w:bottom w:val="none" w:sz="0" w:space="0" w:color="auto"/>
        <w:right w:val="none" w:sz="0" w:space="0" w:color="auto"/>
      </w:divBdr>
    </w:div>
    <w:div w:id="1958635851">
      <w:bodyDiv w:val="1"/>
      <w:marLeft w:val="0"/>
      <w:marRight w:val="0"/>
      <w:marTop w:val="0"/>
      <w:marBottom w:val="0"/>
      <w:divBdr>
        <w:top w:val="none" w:sz="0" w:space="0" w:color="auto"/>
        <w:left w:val="none" w:sz="0" w:space="0" w:color="auto"/>
        <w:bottom w:val="none" w:sz="0" w:space="0" w:color="auto"/>
        <w:right w:val="none" w:sz="0" w:space="0" w:color="auto"/>
      </w:divBdr>
    </w:div>
    <w:div w:id="1964655821">
      <w:bodyDiv w:val="1"/>
      <w:marLeft w:val="0"/>
      <w:marRight w:val="0"/>
      <w:marTop w:val="0"/>
      <w:marBottom w:val="0"/>
      <w:divBdr>
        <w:top w:val="none" w:sz="0" w:space="0" w:color="auto"/>
        <w:left w:val="none" w:sz="0" w:space="0" w:color="auto"/>
        <w:bottom w:val="none" w:sz="0" w:space="0" w:color="auto"/>
        <w:right w:val="none" w:sz="0" w:space="0" w:color="auto"/>
      </w:divBdr>
    </w:div>
    <w:div w:id="1967812932">
      <w:bodyDiv w:val="1"/>
      <w:marLeft w:val="0"/>
      <w:marRight w:val="0"/>
      <w:marTop w:val="0"/>
      <w:marBottom w:val="0"/>
      <w:divBdr>
        <w:top w:val="none" w:sz="0" w:space="0" w:color="auto"/>
        <w:left w:val="none" w:sz="0" w:space="0" w:color="auto"/>
        <w:bottom w:val="none" w:sz="0" w:space="0" w:color="auto"/>
        <w:right w:val="none" w:sz="0" w:space="0" w:color="auto"/>
      </w:divBdr>
    </w:div>
    <w:div w:id="1998875875">
      <w:bodyDiv w:val="1"/>
      <w:marLeft w:val="0"/>
      <w:marRight w:val="0"/>
      <w:marTop w:val="0"/>
      <w:marBottom w:val="0"/>
      <w:divBdr>
        <w:top w:val="none" w:sz="0" w:space="0" w:color="auto"/>
        <w:left w:val="none" w:sz="0" w:space="0" w:color="auto"/>
        <w:bottom w:val="none" w:sz="0" w:space="0" w:color="auto"/>
        <w:right w:val="none" w:sz="0" w:space="0" w:color="auto"/>
      </w:divBdr>
    </w:div>
    <w:div w:id="2024359121">
      <w:bodyDiv w:val="1"/>
      <w:marLeft w:val="0"/>
      <w:marRight w:val="0"/>
      <w:marTop w:val="0"/>
      <w:marBottom w:val="0"/>
      <w:divBdr>
        <w:top w:val="none" w:sz="0" w:space="0" w:color="auto"/>
        <w:left w:val="none" w:sz="0" w:space="0" w:color="auto"/>
        <w:bottom w:val="none" w:sz="0" w:space="0" w:color="auto"/>
        <w:right w:val="none" w:sz="0" w:space="0" w:color="auto"/>
      </w:divBdr>
    </w:div>
    <w:div w:id="2069647929">
      <w:bodyDiv w:val="1"/>
      <w:marLeft w:val="0"/>
      <w:marRight w:val="0"/>
      <w:marTop w:val="0"/>
      <w:marBottom w:val="0"/>
      <w:divBdr>
        <w:top w:val="none" w:sz="0" w:space="0" w:color="auto"/>
        <w:left w:val="none" w:sz="0" w:space="0" w:color="auto"/>
        <w:bottom w:val="none" w:sz="0" w:space="0" w:color="auto"/>
        <w:right w:val="none" w:sz="0" w:space="0" w:color="auto"/>
      </w:divBdr>
    </w:div>
    <w:div w:id="20965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8001-19B8-4D55-B87D-8972B45E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Jelena Đaja Golubović</cp:lastModifiedBy>
  <cp:revision>5</cp:revision>
  <dcterms:created xsi:type="dcterms:W3CDTF">2025-11-14T14:28:00Z</dcterms:created>
  <dcterms:modified xsi:type="dcterms:W3CDTF">2025-12-30T11:58:00Z</dcterms:modified>
</cp:coreProperties>
</file>